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ECD2A" w14:textId="6D617EF4" w:rsidR="00E92018" w:rsidRPr="00A35A65" w:rsidRDefault="00E92018">
      <w:pPr>
        <w:rPr>
          <w:lang w:val="es-CO"/>
        </w:rPr>
      </w:pPr>
    </w:p>
    <w:p w14:paraId="355B05C9" w14:textId="77777777" w:rsidR="009279B5" w:rsidRPr="000364D5" w:rsidRDefault="009279B5" w:rsidP="009279B5">
      <w:pPr>
        <w:rPr>
          <w:rFonts w:ascii="Times New Roman" w:hAnsi="Times New Roman" w:cs="Times New Roman"/>
          <w:b/>
          <w:bCs/>
          <w:sz w:val="24"/>
          <w:szCs w:val="24"/>
          <w:shd w:val="clear" w:color="auto" w:fill="FFFFFF"/>
          <w:lang w:val="es-CO"/>
        </w:rPr>
      </w:pPr>
      <w:r w:rsidRPr="000364D5">
        <w:rPr>
          <w:rFonts w:ascii="Times New Roman" w:hAnsi="Times New Roman" w:cs="Times New Roman"/>
          <w:b/>
          <w:bCs/>
          <w:sz w:val="24"/>
          <w:szCs w:val="24"/>
          <w:shd w:val="clear" w:color="auto" w:fill="FFFFFF"/>
          <w:lang w:val="es-CO"/>
        </w:rPr>
        <w:t>ARTÍCULO DE INVESTIGACIÓN</w:t>
      </w:r>
    </w:p>
    <w:p w14:paraId="7FF9C309" w14:textId="77777777" w:rsidR="009279B5" w:rsidRPr="000364D5" w:rsidRDefault="009279B5" w:rsidP="009279B5">
      <w:pPr>
        <w:jc w:val="center"/>
        <w:rPr>
          <w:rFonts w:ascii="Times New Roman" w:hAnsi="Times New Roman" w:cs="Times New Roman"/>
          <w:b/>
          <w:bCs/>
          <w:sz w:val="24"/>
          <w:szCs w:val="24"/>
          <w:shd w:val="clear" w:color="auto" w:fill="FFFFFF"/>
          <w:lang w:val="es-CO"/>
        </w:rPr>
      </w:pPr>
    </w:p>
    <w:p w14:paraId="2BBC3A5D" w14:textId="77777777" w:rsidR="009279B5" w:rsidRPr="000364D5" w:rsidRDefault="009279B5" w:rsidP="009279B5">
      <w:pPr>
        <w:jc w:val="center"/>
        <w:rPr>
          <w:rFonts w:ascii="Times New Roman" w:hAnsi="Times New Roman" w:cs="Times New Roman"/>
          <w:b/>
          <w:bCs/>
          <w:sz w:val="24"/>
          <w:szCs w:val="24"/>
          <w:shd w:val="clear" w:color="auto" w:fill="FFFFFF"/>
          <w:lang w:val="es-CO"/>
        </w:rPr>
      </w:pPr>
    </w:p>
    <w:p w14:paraId="6F17D2A1" w14:textId="77777777" w:rsidR="009279B5" w:rsidRPr="000364D5" w:rsidRDefault="009279B5" w:rsidP="009279B5">
      <w:pPr>
        <w:jc w:val="center"/>
        <w:rPr>
          <w:rFonts w:ascii="Times New Roman" w:hAnsi="Times New Roman" w:cs="Times New Roman"/>
          <w:b/>
          <w:bCs/>
          <w:sz w:val="24"/>
          <w:szCs w:val="24"/>
          <w:shd w:val="clear" w:color="auto" w:fill="FFFFFF"/>
          <w:lang w:val="es-CO"/>
        </w:rPr>
      </w:pPr>
    </w:p>
    <w:p w14:paraId="18BA9046" w14:textId="0F029A9A" w:rsidR="00827AD5" w:rsidRPr="00FB7241" w:rsidRDefault="00827AD5" w:rsidP="00827AD5">
      <w:pPr>
        <w:spacing w:after="0" w:line="240" w:lineRule="auto"/>
        <w:jc w:val="center"/>
        <w:rPr>
          <w:rFonts w:ascii="Times New Roman" w:eastAsia="Times New Roman" w:hAnsi="Times New Roman" w:cs="Times New Roman"/>
          <w:b/>
          <w:bCs/>
          <w:color w:val="000000"/>
          <w:sz w:val="28"/>
          <w:szCs w:val="28"/>
          <w:lang w:val="es-CO" w:eastAsia="es-CO"/>
        </w:rPr>
      </w:pPr>
      <w:r w:rsidRPr="007D0706">
        <w:rPr>
          <w:rFonts w:ascii="Times New Roman" w:eastAsia="Times New Roman" w:hAnsi="Times New Roman" w:cs="Times New Roman"/>
          <w:b/>
          <w:bCs/>
          <w:color w:val="000000"/>
          <w:sz w:val="28"/>
          <w:szCs w:val="28"/>
          <w:lang w:val="es-CO" w:eastAsia="es-CO"/>
        </w:rPr>
        <w:t>Vacunas asignadas y aplicadas</w:t>
      </w:r>
      <w:r w:rsidR="008E0523">
        <w:rPr>
          <w:rFonts w:ascii="Times New Roman" w:eastAsia="Times New Roman" w:hAnsi="Times New Roman" w:cs="Times New Roman"/>
          <w:b/>
          <w:bCs/>
          <w:color w:val="000000"/>
          <w:sz w:val="28"/>
          <w:szCs w:val="28"/>
          <w:lang w:val="es-CO" w:eastAsia="es-CO"/>
        </w:rPr>
        <w:t xml:space="preserve"> por dosis</w:t>
      </w:r>
      <w:r w:rsidRPr="007D0706">
        <w:rPr>
          <w:rFonts w:ascii="Times New Roman" w:eastAsia="Times New Roman" w:hAnsi="Times New Roman" w:cs="Times New Roman"/>
          <w:b/>
          <w:bCs/>
          <w:color w:val="000000"/>
          <w:sz w:val="28"/>
          <w:szCs w:val="28"/>
          <w:lang w:val="es-CO" w:eastAsia="es-CO"/>
        </w:rPr>
        <w:t xml:space="preserve"> contra COVID-19 por entidad territorial en Colombia</w:t>
      </w:r>
    </w:p>
    <w:p w14:paraId="7156BBC5" w14:textId="6C63A76C" w:rsidR="009279B5" w:rsidRDefault="009279B5" w:rsidP="009279B5">
      <w:pPr>
        <w:spacing w:after="0" w:line="240" w:lineRule="auto"/>
        <w:jc w:val="both"/>
        <w:rPr>
          <w:rFonts w:ascii="Times New Roman" w:eastAsia="Times New Roman" w:hAnsi="Times New Roman" w:cs="Times New Roman"/>
          <w:b/>
          <w:bCs/>
          <w:color w:val="000000"/>
          <w:sz w:val="24"/>
          <w:szCs w:val="24"/>
          <w:lang w:val="es-CO" w:eastAsia="es-CO"/>
        </w:rPr>
      </w:pPr>
    </w:p>
    <w:p w14:paraId="461AD0FF" w14:textId="0DD09CBC" w:rsidR="00DE0483" w:rsidRDefault="00DE0483" w:rsidP="009279B5">
      <w:pPr>
        <w:spacing w:after="0" w:line="240" w:lineRule="auto"/>
        <w:jc w:val="both"/>
        <w:rPr>
          <w:rFonts w:ascii="Times New Roman" w:eastAsia="Times New Roman" w:hAnsi="Times New Roman" w:cs="Times New Roman"/>
          <w:b/>
          <w:bCs/>
          <w:color w:val="000000"/>
          <w:sz w:val="24"/>
          <w:szCs w:val="24"/>
          <w:lang w:val="es-CO" w:eastAsia="es-CO"/>
        </w:rPr>
      </w:pPr>
    </w:p>
    <w:p w14:paraId="17198076" w14:textId="704603D8" w:rsidR="00DE0483" w:rsidRPr="00DE0483" w:rsidRDefault="00DE0483" w:rsidP="00DE0483">
      <w:pPr>
        <w:spacing w:after="0" w:line="240" w:lineRule="auto"/>
        <w:jc w:val="center"/>
        <w:rPr>
          <w:rFonts w:ascii="Times New Roman" w:eastAsia="Times New Roman" w:hAnsi="Times New Roman" w:cs="Times New Roman"/>
          <w:b/>
          <w:bCs/>
          <w:color w:val="000000"/>
          <w:sz w:val="28"/>
          <w:szCs w:val="28"/>
          <w:lang w:eastAsia="es-CO"/>
        </w:rPr>
      </w:pPr>
      <w:r w:rsidRPr="00DE0483">
        <w:rPr>
          <w:rFonts w:ascii="Times New Roman" w:eastAsia="Times New Roman" w:hAnsi="Times New Roman" w:cs="Times New Roman"/>
          <w:b/>
          <w:bCs/>
          <w:color w:val="000000"/>
          <w:sz w:val="28"/>
          <w:szCs w:val="28"/>
          <w:lang w:eastAsia="es-CO"/>
        </w:rPr>
        <w:t>Vaccines assigned and applied per dose against COVID-19 by territorial entity in Colombia</w:t>
      </w:r>
    </w:p>
    <w:p w14:paraId="276E5587" w14:textId="77777777" w:rsidR="009279B5" w:rsidRPr="00DE0483" w:rsidRDefault="009279B5" w:rsidP="00DE0483">
      <w:pPr>
        <w:spacing w:after="0" w:line="240" w:lineRule="auto"/>
        <w:jc w:val="center"/>
        <w:rPr>
          <w:rFonts w:ascii="Times New Roman" w:eastAsia="Times New Roman" w:hAnsi="Times New Roman" w:cs="Times New Roman"/>
          <w:b/>
          <w:bCs/>
          <w:color w:val="000000"/>
          <w:sz w:val="28"/>
          <w:szCs w:val="28"/>
          <w:lang w:eastAsia="es-CO"/>
        </w:rPr>
      </w:pPr>
    </w:p>
    <w:p w14:paraId="5DD2E35B" w14:textId="77777777" w:rsidR="00F82384" w:rsidRDefault="009279B5" w:rsidP="009279B5">
      <w:pPr>
        <w:spacing w:after="0" w:line="480" w:lineRule="auto"/>
        <w:jc w:val="both"/>
        <w:rPr>
          <w:rFonts w:ascii="Times New Roman" w:eastAsia="Times New Roman" w:hAnsi="Times New Roman" w:cs="Times New Roman"/>
          <w:bCs/>
          <w:color w:val="000000"/>
          <w:sz w:val="24"/>
          <w:szCs w:val="24"/>
          <w:lang w:val="es-CO" w:eastAsia="es-CO"/>
        </w:rPr>
      </w:pPr>
      <w:r w:rsidRPr="000364D5">
        <w:rPr>
          <w:rFonts w:ascii="Times New Roman" w:eastAsia="Times New Roman" w:hAnsi="Times New Roman" w:cs="Times New Roman"/>
          <w:bCs/>
          <w:color w:val="000000"/>
          <w:sz w:val="24"/>
          <w:szCs w:val="24"/>
          <w:lang w:val="es-CO" w:eastAsia="es-CO"/>
        </w:rPr>
        <w:t xml:space="preserve">Fecha recibido: </w:t>
      </w:r>
    </w:p>
    <w:p w14:paraId="7DF36E22" w14:textId="3D2C0BF1" w:rsidR="009279B5" w:rsidRPr="000364D5" w:rsidRDefault="009279B5" w:rsidP="009279B5">
      <w:pPr>
        <w:spacing w:after="0" w:line="480" w:lineRule="auto"/>
        <w:jc w:val="both"/>
        <w:rPr>
          <w:rFonts w:ascii="Times New Roman" w:eastAsia="Times New Roman" w:hAnsi="Times New Roman" w:cs="Times New Roman"/>
          <w:bCs/>
          <w:color w:val="000000"/>
          <w:sz w:val="24"/>
          <w:szCs w:val="24"/>
          <w:lang w:val="es-CO" w:eastAsia="es-CO"/>
        </w:rPr>
      </w:pPr>
      <w:r w:rsidRPr="000364D5">
        <w:rPr>
          <w:rFonts w:ascii="Times New Roman" w:eastAsia="Times New Roman" w:hAnsi="Times New Roman" w:cs="Times New Roman"/>
          <w:bCs/>
          <w:color w:val="000000"/>
          <w:sz w:val="24"/>
          <w:szCs w:val="24"/>
          <w:lang w:val="es-CO" w:eastAsia="es-CO"/>
        </w:rPr>
        <w:t xml:space="preserve">Fecha aceptado: </w:t>
      </w:r>
    </w:p>
    <w:p w14:paraId="7ED504F6" w14:textId="77777777" w:rsidR="009279B5" w:rsidRPr="000364D5" w:rsidRDefault="009279B5" w:rsidP="009279B5">
      <w:pPr>
        <w:spacing w:after="0" w:line="480" w:lineRule="auto"/>
        <w:jc w:val="both"/>
        <w:rPr>
          <w:rFonts w:ascii="Times New Roman" w:eastAsia="Times New Roman" w:hAnsi="Times New Roman" w:cs="Times New Roman"/>
          <w:bCs/>
          <w:color w:val="000000"/>
          <w:sz w:val="24"/>
          <w:szCs w:val="24"/>
          <w:lang w:val="es-CO" w:eastAsia="es-CO"/>
        </w:rPr>
      </w:pPr>
    </w:p>
    <w:p w14:paraId="4D2C3FE3" w14:textId="77777777" w:rsidR="009279B5" w:rsidRPr="000364D5" w:rsidRDefault="009279B5" w:rsidP="009279B5">
      <w:pPr>
        <w:spacing w:after="0" w:line="480" w:lineRule="auto"/>
        <w:jc w:val="both"/>
        <w:rPr>
          <w:rFonts w:ascii="Times New Roman" w:eastAsia="Times New Roman" w:hAnsi="Times New Roman" w:cs="Times New Roman"/>
          <w:b/>
          <w:bCs/>
          <w:color w:val="000000"/>
          <w:sz w:val="24"/>
          <w:szCs w:val="24"/>
          <w:lang w:val="es-CO" w:eastAsia="es-CO"/>
        </w:rPr>
      </w:pPr>
    </w:p>
    <w:p w14:paraId="359BBE4F" w14:textId="77777777" w:rsidR="009279B5" w:rsidRPr="000364D5" w:rsidRDefault="009279B5" w:rsidP="009279B5">
      <w:pPr>
        <w:spacing w:after="0" w:line="240" w:lineRule="auto"/>
        <w:jc w:val="center"/>
        <w:rPr>
          <w:rFonts w:ascii="Times New Roman" w:hAnsi="Times New Roman" w:cs="Times New Roman"/>
          <w:b/>
          <w:bCs/>
          <w:sz w:val="24"/>
          <w:szCs w:val="24"/>
          <w:lang w:val="es-CO"/>
        </w:rPr>
      </w:pPr>
    </w:p>
    <w:p w14:paraId="32E0A42F" w14:textId="77777777" w:rsidR="009279B5" w:rsidRPr="000364D5" w:rsidRDefault="009279B5" w:rsidP="009279B5">
      <w:pPr>
        <w:spacing w:after="0" w:line="240" w:lineRule="auto"/>
        <w:jc w:val="center"/>
        <w:rPr>
          <w:rFonts w:ascii="Times New Roman" w:hAnsi="Times New Roman" w:cs="Times New Roman"/>
          <w:b/>
          <w:bCs/>
          <w:sz w:val="24"/>
          <w:szCs w:val="24"/>
          <w:lang w:val="es-CO"/>
        </w:rPr>
      </w:pPr>
    </w:p>
    <w:p w14:paraId="6F075D7D" w14:textId="77777777" w:rsidR="009279B5" w:rsidRPr="000364D5" w:rsidRDefault="009279B5" w:rsidP="009279B5">
      <w:pPr>
        <w:spacing w:line="360" w:lineRule="auto"/>
        <w:rPr>
          <w:rFonts w:ascii="Times New Roman" w:hAnsi="Times New Roman" w:cs="Times New Roman"/>
          <w:b/>
          <w:bCs/>
          <w:sz w:val="24"/>
          <w:szCs w:val="24"/>
          <w:lang w:val="es-CO"/>
        </w:rPr>
      </w:pPr>
      <w:r w:rsidRPr="000364D5">
        <w:rPr>
          <w:rFonts w:ascii="Times New Roman" w:hAnsi="Times New Roman" w:cs="Times New Roman"/>
          <w:sz w:val="24"/>
          <w:szCs w:val="24"/>
          <w:lang w:val="es-CO"/>
        </w:rPr>
        <w:t>Jorge Enrique Díaz-Pinzón*</w:t>
      </w:r>
    </w:p>
    <w:p w14:paraId="089A6A04" w14:textId="77777777" w:rsidR="009279B5" w:rsidRPr="000364D5" w:rsidRDefault="009279B5" w:rsidP="009279B5">
      <w:pPr>
        <w:spacing w:after="0" w:line="240" w:lineRule="auto"/>
        <w:rPr>
          <w:rFonts w:ascii="Times New Roman" w:hAnsi="Times New Roman" w:cs="Times New Roman"/>
          <w:sz w:val="24"/>
          <w:szCs w:val="24"/>
          <w:lang w:val="es-CO"/>
        </w:rPr>
      </w:pPr>
    </w:p>
    <w:p w14:paraId="26E1DA9F" w14:textId="77777777" w:rsidR="009279B5" w:rsidRPr="000364D5" w:rsidRDefault="009279B5" w:rsidP="009279B5">
      <w:pPr>
        <w:spacing w:after="0" w:line="240" w:lineRule="auto"/>
        <w:rPr>
          <w:rFonts w:ascii="Times New Roman" w:hAnsi="Times New Roman" w:cs="Times New Roman"/>
          <w:sz w:val="24"/>
          <w:szCs w:val="24"/>
          <w:lang w:val="es-CO"/>
        </w:rPr>
      </w:pPr>
      <w:r w:rsidRPr="000364D5">
        <w:rPr>
          <w:rFonts w:ascii="Times New Roman" w:hAnsi="Times New Roman" w:cs="Times New Roman"/>
          <w:sz w:val="24"/>
          <w:szCs w:val="24"/>
          <w:lang w:val="es-CO"/>
        </w:rPr>
        <w:t xml:space="preserve">Correo electrónico autor principal Ing. Jorge Enrique Díaz Pinzón: </w:t>
      </w:r>
      <w:hyperlink r:id="rId6" w:history="1">
        <w:r w:rsidRPr="000364D5">
          <w:rPr>
            <w:rStyle w:val="Hipervnculo"/>
            <w:rFonts w:ascii="Times New Roman" w:hAnsi="Times New Roman" w:cs="Times New Roman"/>
            <w:sz w:val="24"/>
            <w:szCs w:val="24"/>
            <w:lang w:val="es-CO"/>
          </w:rPr>
          <w:t>jediazp@unal.edu.co</w:t>
        </w:r>
      </w:hyperlink>
    </w:p>
    <w:p w14:paraId="418CBDF5" w14:textId="77777777" w:rsidR="009279B5" w:rsidRPr="000364D5" w:rsidRDefault="009279B5" w:rsidP="009279B5">
      <w:pPr>
        <w:spacing w:line="360" w:lineRule="auto"/>
        <w:jc w:val="both"/>
        <w:rPr>
          <w:rFonts w:ascii="Times New Roman" w:hAnsi="Times New Roman" w:cs="Times New Roman"/>
          <w:b/>
          <w:bCs/>
          <w:sz w:val="24"/>
          <w:szCs w:val="24"/>
          <w:lang w:val="es-CO"/>
        </w:rPr>
      </w:pPr>
      <w:r w:rsidRPr="000364D5">
        <w:rPr>
          <w:rFonts w:ascii="Times New Roman" w:hAnsi="Times New Roman" w:cs="Times New Roman"/>
          <w:b/>
          <w:bCs/>
          <w:sz w:val="24"/>
          <w:szCs w:val="24"/>
          <w:lang w:val="es-CO"/>
        </w:rPr>
        <w:t xml:space="preserve"> </w:t>
      </w:r>
    </w:p>
    <w:p w14:paraId="4F6042AF" w14:textId="77777777" w:rsidR="009279B5" w:rsidRPr="000364D5" w:rsidRDefault="009279B5" w:rsidP="009279B5">
      <w:pPr>
        <w:spacing w:after="0" w:line="240" w:lineRule="auto"/>
        <w:rPr>
          <w:rFonts w:ascii="Times New Roman" w:hAnsi="Times New Roman" w:cs="Times New Roman"/>
          <w:sz w:val="24"/>
          <w:szCs w:val="24"/>
          <w:lang w:val="es-CO"/>
        </w:rPr>
      </w:pPr>
    </w:p>
    <w:p w14:paraId="3AEB15E1" w14:textId="77777777" w:rsidR="009279B5" w:rsidRPr="000364D5" w:rsidRDefault="009279B5" w:rsidP="009279B5">
      <w:pPr>
        <w:spacing w:after="0" w:line="240" w:lineRule="auto"/>
        <w:rPr>
          <w:rFonts w:ascii="Times New Roman" w:hAnsi="Times New Roman" w:cs="Times New Roman"/>
          <w:sz w:val="24"/>
          <w:szCs w:val="24"/>
          <w:lang w:val="es-CO"/>
        </w:rPr>
      </w:pPr>
    </w:p>
    <w:p w14:paraId="67B33E90" w14:textId="77777777" w:rsidR="009279B5" w:rsidRPr="000364D5" w:rsidRDefault="009279B5" w:rsidP="009279B5">
      <w:pPr>
        <w:spacing w:after="0" w:line="240" w:lineRule="auto"/>
        <w:rPr>
          <w:rFonts w:ascii="Times New Roman" w:hAnsi="Times New Roman" w:cs="Times New Roman"/>
          <w:sz w:val="24"/>
          <w:szCs w:val="24"/>
          <w:lang w:val="es-CO"/>
        </w:rPr>
      </w:pPr>
    </w:p>
    <w:p w14:paraId="627414BE" w14:textId="77777777" w:rsidR="009279B5" w:rsidRPr="000364D5" w:rsidRDefault="009279B5" w:rsidP="009279B5">
      <w:pPr>
        <w:spacing w:after="0" w:line="240" w:lineRule="auto"/>
        <w:rPr>
          <w:rFonts w:ascii="Times New Roman" w:hAnsi="Times New Roman" w:cs="Times New Roman"/>
          <w:sz w:val="24"/>
          <w:szCs w:val="24"/>
          <w:lang w:val="es-CO"/>
        </w:rPr>
      </w:pPr>
    </w:p>
    <w:p w14:paraId="1A4CB596" w14:textId="77777777" w:rsidR="009279B5" w:rsidRPr="000364D5" w:rsidRDefault="009279B5" w:rsidP="009279B5">
      <w:pPr>
        <w:spacing w:after="0" w:line="240" w:lineRule="auto"/>
        <w:jc w:val="both"/>
        <w:rPr>
          <w:rFonts w:ascii="Times New Roman" w:hAnsi="Times New Roman" w:cs="Times New Roman"/>
          <w:sz w:val="24"/>
          <w:szCs w:val="24"/>
          <w:lang w:val="es-CO"/>
        </w:rPr>
      </w:pPr>
    </w:p>
    <w:p w14:paraId="03582F99" w14:textId="45EEEAC0" w:rsidR="002D6380" w:rsidRPr="002D6380" w:rsidRDefault="009279B5" w:rsidP="002D6380">
      <w:pPr>
        <w:spacing w:after="0" w:line="240" w:lineRule="auto"/>
        <w:jc w:val="both"/>
        <w:rPr>
          <w:rFonts w:ascii="Times New Roman" w:hAnsi="Times New Roman" w:cs="Times New Roman"/>
          <w:sz w:val="24"/>
          <w:szCs w:val="24"/>
          <w:lang w:val="es-CO"/>
        </w:rPr>
      </w:pPr>
      <w:r w:rsidRPr="000364D5">
        <w:rPr>
          <w:rFonts w:ascii="Times New Roman" w:hAnsi="Times New Roman" w:cs="Times New Roman"/>
          <w:sz w:val="24"/>
          <w:szCs w:val="24"/>
          <w:lang w:val="es-CO"/>
        </w:rPr>
        <w:t xml:space="preserve">* </w:t>
      </w:r>
      <w:bookmarkStart w:id="0" w:name="_Hlk96786686"/>
      <w:r w:rsidR="002D6380" w:rsidRPr="002D6380">
        <w:rPr>
          <w:rFonts w:ascii="Times New Roman" w:hAnsi="Times New Roman" w:cs="Times New Roman"/>
          <w:sz w:val="24"/>
          <w:szCs w:val="24"/>
          <w:lang w:val="es-CO"/>
        </w:rPr>
        <w:t>Ingeniero. Magister en Gestión de la Tecnología Educativa, Especialista en Administración de la Informática Educativa. Docente de matemáticas e Investigador Junior (IJ) SNCTeI</w:t>
      </w:r>
      <w:r w:rsidR="002D6380" w:rsidRPr="002D6380">
        <w:rPr>
          <w:sz w:val="24"/>
          <w:szCs w:val="24"/>
          <w:lang w:val="es-CO"/>
        </w:rPr>
        <w:t>,</w:t>
      </w:r>
      <w:r w:rsidR="002D6380" w:rsidRPr="002D6380">
        <w:rPr>
          <w:rFonts w:ascii="Times New Roman" w:hAnsi="Times New Roman" w:cs="Times New Roman"/>
          <w:sz w:val="24"/>
          <w:szCs w:val="24"/>
          <w:lang w:val="es-CO"/>
        </w:rPr>
        <w:t xml:space="preserve"> filiación institucional: Secretaría de Educación de Soacha, Colombia.      </w:t>
      </w:r>
      <w:bookmarkEnd w:id="0"/>
    </w:p>
    <w:p w14:paraId="6926C224" w14:textId="77777777" w:rsidR="002D6380" w:rsidRPr="002D6380" w:rsidRDefault="002D6380" w:rsidP="002D6380">
      <w:pPr>
        <w:spacing w:after="0" w:line="240" w:lineRule="auto"/>
        <w:jc w:val="both"/>
        <w:rPr>
          <w:rFonts w:ascii="Times New Roman" w:hAnsi="Times New Roman" w:cs="Times New Roman"/>
          <w:sz w:val="24"/>
          <w:szCs w:val="24"/>
          <w:lang w:val="es-CO"/>
        </w:rPr>
      </w:pPr>
    </w:p>
    <w:p w14:paraId="0400C092" w14:textId="0EF2DCD0" w:rsidR="009279B5" w:rsidRPr="000364D5" w:rsidRDefault="009279B5" w:rsidP="00AC6417">
      <w:pPr>
        <w:spacing w:after="0" w:line="240" w:lineRule="auto"/>
        <w:jc w:val="both"/>
        <w:rPr>
          <w:rFonts w:ascii="Times New Roman" w:hAnsi="Times New Roman" w:cs="Times New Roman"/>
          <w:sz w:val="24"/>
          <w:szCs w:val="24"/>
          <w:lang w:val="es-CO"/>
        </w:rPr>
      </w:pPr>
      <w:r w:rsidRPr="000364D5">
        <w:rPr>
          <w:rFonts w:ascii="Times New Roman" w:hAnsi="Times New Roman" w:cs="Times New Roman"/>
          <w:sz w:val="24"/>
          <w:szCs w:val="24"/>
          <w:lang w:val="es-CO"/>
        </w:rPr>
        <w:t xml:space="preserve">   </w:t>
      </w:r>
    </w:p>
    <w:p w14:paraId="2BE8490D" w14:textId="77777777" w:rsidR="009279B5" w:rsidRPr="000364D5" w:rsidRDefault="009279B5" w:rsidP="009279B5">
      <w:pPr>
        <w:spacing w:after="0" w:line="240" w:lineRule="auto"/>
        <w:jc w:val="both"/>
        <w:rPr>
          <w:rFonts w:ascii="Times New Roman" w:hAnsi="Times New Roman" w:cs="Times New Roman"/>
          <w:sz w:val="24"/>
          <w:szCs w:val="24"/>
          <w:lang w:val="es-CO"/>
        </w:rPr>
      </w:pPr>
    </w:p>
    <w:p w14:paraId="6F73FC08" w14:textId="77777777" w:rsidR="00DD2820" w:rsidRDefault="00DD2820" w:rsidP="00641A33">
      <w:pPr>
        <w:rPr>
          <w:rFonts w:ascii="Arial" w:hAnsi="Arial" w:cs="Arial"/>
          <w:b/>
          <w:bCs/>
          <w:sz w:val="24"/>
          <w:szCs w:val="24"/>
          <w:lang w:val="es-CO"/>
        </w:rPr>
      </w:pPr>
    </w:p>
    <w:p w14:paraId="31334EFE" w14:textId="77777777" w:rsidR="00DD2820" w:rsidRDefault="00DD2820" w:rsidP="00641A33">
      <w:pPr>
        <w:rPr>
          <w:rFonts w:ascii="Arial" w:hAnsi="Arial" w:cs="Arial"/>
          <w:b/>
          <w:bCs/>
          <w:sz w:val="24"/>
          <w:szCs w:val="24"/>
          <w:lang w:val="es-CO"/>
        </w:rPr>
      </w:pPr>
    </w:p>
    <w:p w14:paraId="49DA5C72" w14:textId="77777777" w:rsidR="00E1496D" w:rsidRPr="00641A33" w:rsidRDefault="00E1496D" w:rsidP="00E1496D">
      <w:pPr>
        <w:rPr>
          <w:rFonts w:ascii="Arial" w:hAnsi="Arial" w:cs="Arial"/>
          <w:b/>
          <w:bCs/>
          <w:sz w:val="24"/>
          <w:szCs w:val="24"/>
          <w:lang w:val="es-CO"/>
        </w:rPr>
      </w:pPr>
      <w:r w:rsidRPr="00641A33">
        <w:rPr>
          <w:rFonts w:ascii="Arial" w:hAnsi="Arial" w:cs="Arial"/>
          <w:b/>
          <w:bCs/>
          <w:sz w:val="24"/>
          <w:szCs w:val="24"/>
          <w:lang w:val="es-CO"/>
        </w:rPr>
        <w:lastRenderedPageBreak/>
        <w:t>Resumen</w:t>
      </w:r>
    </w:p>
    <w:p w14:paraId="4F63A3D1" w14:textId="481EAB39" w:rsidR="00A058F0" w:rsidRPr="008910F2" w:rsidRDefault="00E1496D" w:rsidP="00A058F0">
      <w:pPr>
        <w:spacing w:line="360" w:lineRule="auto"/>
        <w:jc w:val="both"/>
        <w:rPr>
          <w:rFonts w:ascii="Times New Roman" w:hAnsi="Times New Roman" w:cs="Times New Roman"/>
          <w:b/>
          <w:bCs/>
          <w:color w:val="000000" w:themeColor="text1"/>
          <w:sz w:val="24"/>
          <w:szCs w:val="24"/>
          <w:shd w:val="clear" w:color="auto" w:fill="FFFFFF"/>
          <w:lang w:val="es-CO"/>
        </w:rPr>
      </w:pPr>
      <w:r w:rsidRPr="0067169E">
        <w:rPr>
          <w:rFonts w:ascii="Times New Roman" w:hAnsi="Times New Roman" w:cs="Times New Roman"/>
          <w:b/>
          <w:bCs/>
          <w:sz w:val="24"/>
          <w:szCs w:val="24"/>
          <w:lang w:val="es-CO"/>
        </w:rPr>
        <w:t>Introducción:</w:t>
      </w:r>
      <w:r w:rsidRPr="00D12D27">
        <w:rPr>
          <w:rFonts w:ascii="Times New Roman" w:hAnsi="Times New Roman" w:cs="Times New Roman"/>
          <w:sz w:val="24"/>
          <w:szCs w:val="24"/>
          <w:lang w:val="es-CO"/>
        </w:rPr>
        <w:t xml:space="preserve"> </w:t>
      </w:r>
      <w:r w:rsidR="007978BF" w:rsidRPr="00FB2EDC">
        <w:rPr>
          <w:rFonts w:ascii="Times New Roman" w:hAnsi="Times New Roman" w:cs="Times New Roman"/>
          <w:color w:val="222222"/>
          <w:sz w:val="24"/>
          <w:szCs w:val="24"/>
          <w:shd w:val="clear" w:color="auto" w:fill="FFFFFF"/>
          <w:lang w:val="es-CO"/>
        </w:rPr>
        <w:t xml:space="preserve">Las vacunas para </w:t>
      </w:r>
      <w:r w:rsidR="007978BF">
        <w:rPr>
          <w:rFonts w:ascii="Times New Roman" w:hAnsi="Times New Roman" w:cs="Times New Roman"/>
          <w:color w:val="222222"/>
          <w:sz w:val="24"/>
          <w:szCs w:val="24"/>
          <w:shd w:val="clear" w:color="auto" w:fill="FFFFFF"/>
          <w:lang w:val="es-CO"/>
        </w:rPr>
        <w:t>evitar</w:t>
      </w:r>
      <w:r w:rsidR="007978BF" w:rsidRPr="00FB2EDC">
        <w:rPr>
          <w:rFonts w:ascii="Times New Roman" w:hAnsi="Times New Roman" w:cs="Times New Roman"/>
          <w:color w:val="222222"/>
          <w:sz w:val="24"/>
          <w:szCs w:val="24"/>
          <w:shd w:val="clear" w:color="auto" w:fill="FFFFFF"/>
          <w:lang w:val="es-CO"/>
        </w:rPr>
        <w:t xml:space="preserve"> la infección por coronavirus 2 (SARS-CoV-2) del síndrome respiratorio agudo severo se </w:t>
      </w:r>
      <w:r w:rsidR="007978BF">
        <w:rPr>
          <w:rFonts w:ascii="Times New Roman" w:hAnsi="Times New Roman" w:cs="Times New Roman"/>
          <w:color w:val="222222"/>
          <w:sz w:val="24"/>
          <w:szCs w:val="24"/>
          <w:shd w:val="clear" w:color="auto" w:fill="FFFFFF"/>
          <w:lang w:val="es-CO"/>
        </w:rPr>
        <w:t>observa</w:t>
      </w:r>
      <w:r w:rsidR="007978BF" w:rsidRPr="00FB2EDC">
        <w:rPr>
          <w:rFonts w:ascii="Times New Roman" w:hAnsi="Times New Roman" w:cs="Times New Roman"/>
          <w:color w:val="222222"/>
          <w:sz w:val="24"/>
          <w:szCs w:val="24"/>
          <w:shd w:val="clear" w:color="auto" w:fill="FFFFFF"/>
          <w:lang w:val="es-CO"/>
        </w:rPr>
        <w:t xml:space="preserve"> el enfoque más prometedor para aplacar la pandemia</w:t>
      </w:r>
      <w:r w:rsidRPr="00D12D27">
        <w:rPr>
          <w:rFonts w:ascii="Times New Roman" w:hAnsi="Times New Roman" w:cs="Times New Roman"/>
          <w:sz w:val="24"/>
          <w:szCs w:val="24"/>
          <w:lang w:val="es-CO"/>
        </w:rPr>
        <w:t xml:space="preserve">. </w:t>
      </w:r>
      <w:r w:rsidRPr="0067169E">
        <w:rPr>
          <w:rFonts w:ascii="Times New Roman" w:hAnsi="Times New Roman" w:cs="Times New Roman"/>
          <w:b/>
          <w:bCs/>
          <w:sz w:val="24"/>
          <w:szCs w:val="24"/>
          <w:lang w:val="es-CO"/>
        </w:rPr>
        <w:t>Objetivo:</w:t>
      </w:r>
      <w:r w:rsidRPr="00D12D27">
        <w:rPr>
          <w:rFonts w:ascii="Times New Roman" w:eastAsia="Times New Roman" w:hAnsi="Times New Roman" w:cs="Times New Roman"/>
          <w:sz w:val="24"/>
          <w:szCs w:val="24"/>
          <w:lang w:val="es-CO" w:eastAsia="es-CO"/>
        </w:rPr>
        <w:t xml:space="preserve"> </w:t>
      </w:r>
      <w:r w:rsidR="00CB2E7C" w:rsidRPr="00CB2E7C">
        <w:rPr>
          <w:rFonts w:ascii="Times New Roman" w:hAnsi="Times New Roman" w:cs="Times New Roman"/>
          <w:sz w:val="24"/>
          <w:szCs w:val="24"/>
          <w:lang w:val="es-CO"/>
        </w:rPr>
        <w:t xml:space="preserve">mostrar el avance de </w:t>
      </w:r>
      <w:r w:rsidR="001E080F">
        <w:rPr>
          <w:rFonts w:ascii="Times New Roman" w:hAnsi="Times New Roman" w:cs="Times New Roman"/>
          <w:sz w:val="24"/>
          <w:szCs w:val="24"/>
          <w:lang w:val="es-CO"/>
        </w:rPr>
        <w:t>vacunas distribuidas, asignadas y aplicadas por dosis</w:t>
      </w:r>
      <w:r w:rsidR="00CB2E7C" w:rsidRPr="00CB2E7C">
        <w:rPr>
          <w:rFonts w:ascii="Times New Roman" w:hAnsi="Times New Roman" w:cs="Times New Roman"/>
          <w:sz w:val="24"/>
          <w:szCs w:val="24"/>
          <w:lang w:val="es-CO"/>
        </w:rPr>
        <w:t xml:space="preserve"> para la vacunación contra SARS-COV-2 en las entidades territoriales de Colombia, entre el periodo comprendido entre el 17 de febrero al </w:t>
      </w:r>
      <w:r w:rsidR="00A058F0">
        <w:rPr>
          <w:rFonts w:ascii="Times New Roman" w:hAnsi="Times New Roman" w:cs="Times New Roman"/>
          <w:sz w:val="24"/>
          <w:szCs w:val="24"/>
          <w:lang w:val="es-CO"/>
        </w:rPr>
        <w:t>5</w:t>
      </w:r>
      <w:r w:rsidR="00CB2E7C" w:rsidRPr="00CB2E7C">
        <w:rPr>
          <w:rFonts w:ascii="Times New Roman" w:hAnsi="Times New Roman" w:cs="Times New Roman"/>
          <w:sz w:val="24"/>
          <w:szCs w:val="24"/>
          <w:lang w:val="es-CO"/>
        </w:rPr>
        <w:t xml:space="preserve"> de agosto de 2021</w:t>
      </w:r>
      <w:r w:rsidRPr="00E1496D">
        <w:rPr>
          <w:rFonts w:ascii="Times New Roman" w:hAnsi="Times New Roman" w:cs="Times New Roman"/>
          <w:sz w:val="24"/>
          <w:szCs w:val="24"/>
          <w:lang w:val="es-CO"/>
        </w:rPr>
        <w:t>.</w:t>
      </w:r>
      <w:r w:rsidRPr="00D12D27">
        <w:rPr>
          <w:rFonts w:ascii="Times New Roman" w:eastAsia="Times New Roman" w:hAnsi="Times New Roman" w:cs="Times New Roman"/>
          <w:sz w:val="24"/>
          <w:szCs w:val="24"/>
          <w:lang w:val="es-CO" w:eastAsia="es-CO"/>
        </w:rPr>
        <w:t xml:space="preserve"> </w:t>
      </w:r>
      <w:r w:rsidRPr="0067169E">
        <w:rPr>
          <w:rFonts w:ascii="Times New Roman" w:hAnsi="Times New Roman" w:cs="Times New Roman"/>
          <w:b/>
          <w:bCs/>
          <w:sz w:val="24"/>
          <w:szCs w:val="24"/>
          <w:lang w:val="es-CO"/>
        </w:rPr>
        <w:t>Metodología:</w:t>
      </w:r>
      <w:r w:rsidRPr="00D12D27">
        <w:rPr>
          <w:rFonts w:ascii="Times New Roman" w:eastAsia="Times New Roman" w:hAnsi="Times New Roman" w:cs="Times New Roman"/>
          <w:sz w:val="24"/>
          <w:szCs w:val="24"/>
          <w:lang w:val="es-CO" w:eastAsia="es-CO"/>
        </w:rPr>
        <w:t xml:space="preserve"> </w:t>
      </w:r>
      <w:r w:rsidR="00CB2E7C" w:rsidRPr="00875048">
        <w:rPr>
          <w:rFonts w:ascii="Times New Roman" w:hAnsi="Times New Roman" w:cs="Times New Roman"/>
          <w:sz w:val="24"/>
          <w:szCs w:val="24"/>
          <w:shd w:val="clear" w:color="auto" w:fill="FFFFFF"/>
          <w:lang w:val="es-CO"/>
        </w:rPr>
        <w:t>Este fue un estudio de tipo transversal analítico diseñado específicamente para recoger información sobre vacunas administradas en Colombia</w:t>
      </w:r>
      <w:r>
        <w:rPr>
          <w:rFonts w:ascii="Times New Roman" w:eastAsia="Times New Roman" w:hAnsi="Times New Roman" w:cs="Times New Roman"/>
          <w:sz w:val="24"/>
          <w:szCs w:val="24"/>
          <w:lang w:val="es-CO" w:eastAsia="es-CO"/>
        </w:rPr>
        <w:t>, c</w:t>
      </w:r>
      <w:r w:rsidRPr="00FC3096">
        <w:rPr>
          <w:rFonts w:ascii="Times New Roman" w:eastAsia="Times New Roman" w:hAnsi="Times New Roman" w:cs="Times New Roman"/>
          <w:sz w:val="24"/>
          <w:szCs w:val="24"/>
          <w:lang w:val="es-CO" w:eastAsia="es-CO"/>
        </w:rPr>
        <w:t xml:space="preserve">omo fuente de información </w:t>
      </w:r>
      <w:r w:rsidRPr="007A2C45">
        <w:rPr>
          <w:rFonts w:ascii="Times New Roman" w:hAnsi="Times New Roman" w:cs="Times New Roman"/>
          <w:sz w:val="24"/>
          <w:szCs w:val="24"/>
          <w:lang w:val="es-CO"/>
        </w:rPr>
        <w:t>se obtuvo de</w:t>
      </w:r>
      <w:r>
        <w:rPr>
          <w:rFonts w:ascii="Times New Roman" w:hAnsi="Times New Roman" w:cs="Times New Roman"/>
          <w:sz w:val="24"/>
          <w:szCs w:val="24"/>
          <w:lang w:val="es-CO"/>
        </w:rPr>
        <w:t>l plan nacional de vacunación contra el COVID-19</w:t>
      </w:r>
      <w:r w:rsidRPr="007A2C45">
        <w:rPr>
          <w:rFonts w:ascii="Times New Roman" w:hAnsi="Times New Roman" w:cs="Times New Roman"/>
          <w:sz w:val="24"/>
          <w:szCs w:val="24"/>
          <w:lang w:val="es-CO"/>
        </w:rPr>
        <w:t xml:space="preserve"> </w:t>
      </w:r>
      <w:r>
        <w:rPr>
          <w:rFonts w:ascii="Times New Roman" w:hAnsi="Times New Roman" w:cs="Times New Roman"/>
          <w:sz w:val="24"/>
          <w:szCs w:val="24"/>
          <w:lang w:val="es-CO"/>
        </w:rPr>
        <w:t xml:space="preserve">de </w:t>
      </w:r>
      <w:r w:rsidRPr="007A2C45">
        <w:rPr>
          <w:rFonts w:ascii="Times New Roman" w:hAnsi="Times New Roman" w:cs="Times New Roman"/>
          <w:sz w:val="24"/>
          <w:szCs w:val="24"/>
          <w:lang w:val="es-CO"/>
        </w:rPr>
        <w:t>la página web del Ministerio de Salud y Protección Social</w:t>
      </w:r>
      <w:r w:rsidR="00CB2E7C">
        <w:rPr>
          <w:rFonts w:ascii="Times New Roman" w:hAnsi="Times New Roman" w:cs="Times New Roman"/>
          <w:sz w:val="24"/>
          <w:szCs w:val="24"/>
          <w:lang w:val="es-CO"/>
        </w:rPr>
        <w:t xml:space="preserve">. </w:t>
      </w:r>
      <w:r w:rsidRPr="0067169E">
        <w:rPr>
          <w:rFonts w:ascii="Times New Roman" w:hAnsi="Times New Roman" w:cs="Times New Roman"/>
          <w:b/>
          <w:bCs/>
          <w:sz w:val="24"/>
          <w:szCs w:val="24"/>
          <w:lang w:val="es-CO"/>
        </w:rPr>
        <w:t>Resultados:</w:t>
      </w:r>
      <w:r w:rsidRPr="00D12D27">
        <w:rPr>
          <w:rFonts w:ascii="Times New Roman" w:hAnsi="Times New Roman" w:cs="Times New Roman"/>
          <w:sz w:val="24"/>
          <w:szCs w:val="24"/>
          <w:lang w:val="es-CO"/>
        </w:rPr>
        <w:t xml:space="preserve"> </w:t>
      </w:r>
      <w:r w:rsidR="00410560">
        <w:rPr>
          <w:rFonts w:ascii="Times New Roman" w:hAnsi="Times New Roman" w:cs="Times New Roman"/>
          <w:sz w:val="24"/>
          <w:szCs w:val="24"/>
          <w:lang w:val="es-CO"/>
        </w:rPr>
        <w:t xml:space="preserve">las entidades territoriales </w:t>
      </w:r>
      <w:r w:rsidR="00410560" w:rsidRPr="00B80D1D">
        <w:rPr>
          <w:rFonts w:ascii="Times New Roman" w:hAnsi="Times New Roman" w:cs="Times New Roman"/>
          <w:sz w:val="24"/>
          <w:szCs w:val="24"/>
          <w:lang w:val="es-CO"/>
        </w:rPr>
        <w:t>con mayor número</w:t>
      </w:r>
      <w:r w:rsidR="00410560">
        <w:rPr>
          <w:rFonts w:ascii="Times New Roman" w:hAnsi="Times New Roman" w:cs="Times New Roman"/>
          <w:sz w:val="24"/>
          <w:szCs w:val="24"/>
          <w:lang w:val="es-CO"/>
        </w:rPr>
        <w:t xml:space="preserve"> de porcentaje de dosis asignadas fueron</w:t>
      </w:r>
      <w:r w:rsidR="00410560" w:rsidRPr="00B80D1D">
        <w:rPr>
          <w:rFonts w:ascii="Times New Roman" w:hAnsi="Times New Roman" w:cs="Times New Roman"/>
          <w:sz w:val="24"/>
          <w:szCs w:val="24"/>
          <w:lang w:val="es-CO"/>
        </w:rPr>
        <w:t>: Bogotá (</w:t>
      </w:r>
      <w:r w:rsidR="00410560">
        <w:rPr>
          <w:rFonts w:ascii="Times New Roman" w:hAnsi="Times New Roman" w:cs="Times New Roman"/>
          <w:sz w:val="24"/>
          <w:szCs w:val="24"/>
          <w:lang w:val="es-CO"/>
        </w:rPr>
        <w:t>18.61</w:t>
      </w:r>
      <w:r w:rsidR="00410560" w:rsidRPr="00B80D1D">
        <w:rPr>
          <w:rFonts w:ascii="Times New Roman" w:hAnsi="Times New Roman" w:cs="Times New Roman"/>
          <w:sz w:val="24"/>
          <w:szCs w:val="24"/>
          <w:lang w:val="es-CO"/>
        </w:rPr>
        <w:t>), Antioqu</w:t>
      </w:r>
      <w:r w:rsidR="00410560">
        <w:rPr>
          <w:rFonts w:ascii="Times New Roman" w:hAnsi="Times New Roman" w:cs="Times New Roman"/>
          <w:sz w:val="24"/>
          <w:szCs w:val="24"/>
          <w:lang w:val="es-CO"/>
        </w:rPr>
        <w:t>ia</w:t>
      </w:r>
      <w:r w:rsidR="00410560" w:rsidRPr="00B80D1D">
        <w:rPr>
          <w:rFonts w:ascii="Times New Roman" w:hAnsi="Times New Roman" w:cs="Times New Roman"/>
          <w:sz w:val="24"/>
          <w:szCs w:val="24"/>
          <w:lang w:val="es-CO"/>
        </w:rPr>
        <w:t xml:space="preserve"> (</w:t>
      </w:r>
      <w:r w:rsidR="00410560">
        <w:rPr>
          <w:rFonts w:ascii="Times New Roman" w:hAnsi="Times New Roman" w:cs="Times New Roman"/>
          <w:sz w:val="24"/>
          <w:szCs w:val="24"/>
          <w:lang w:val="es-CO"/>
        </w:rPr>
        <w:t>14,92</w:t>
      </w:r>
      <w:r w:rsidR="00410560" w:rsidRPr="00B80D1D">
        <w:rPr>
          <w:rFonts w:ascii="Times New Roman" w:hAnsi="Times New Roman" w:cs="Times New Roman"/>
          <w:sz w:val="24"/>
          <w:szCs w:val="24"/>
          <w:lang w:val="es-CO"/>
        </w:rPr>
        <w:t>), Valle del Cauca (</w:t>
      </w:r>
      <w:r w:rsidR="00410560">
        <w:rPr>
          <w:rFonts w:ascii="Times New Roman" w:hAnsi="Times New Roman" w:cs="Times New Roman"/>
          <w:sz w:val="24"/>
          <w:szCs w:val="24"/>
          <w:lang w:val="es-CO"/>
        </w:rPr>
        <w:t>8,82</w:t>
      </w:r>
      <w:r w:rsidR="00410560" w:rsidRPr="00B80D1D">
        <w:rPr>
          <w:rFonts w:ascii="Times New Roman" w:hAnsi="Times New Roman" w:cs="Times New Roman"/>
          <w:sz w:val="24"/>
          <w:szCs w:val="24"/>
          <w:lang w:val="es-CO"/>
        </w:rPr>
        <w:t>)</w:t>
      </w:r>
      <w:r w:rsidR="00410560">
        <w:rPr>
          <w:rFonts w:ascii="Times New Roman" w:hAnsi="Times New Roman" w:cs="Times New Roman"/>
          <w:sz w:val="24"/>
          <w:szCs w:val="24"/>
          <w:lang w:val="es-CO"/>
        </w:rPr>
        <w:t xml:space="preserve">, y </w:t>
      </w:r>
      <w:r w:rsidR="00BC0AF7" w:rsidRPr="00011D21">
        <w:rPr>
          <w:rFonts w:ascii="Times New Roman" w:hAnsi="Times New Roman" w:cs="Times New Roman"/>
          <w:sz w:val="24"/>
          <w:szCs w:val="24"/>
          <w:lang w:val="es-CO"/>
        </w:rPr>
        <w:t xml:space="preserve">las entidades territoriales con mayor </w:t>
      </w:r>
      <w:r w:rsidR="00BC0AF7">
        <w:rPr>
          <w:rFonts w:ascii="Times New Roman" w:hAnsi="Times New Roman" w:cs="Times New Roman"/>
          <w:sz w:val="24"/>
          <w:szCs w:val="24"/>
          <w:lang w:val="es-CO"/>
        </w:rPr>
        <w:t>porcentaje de</w:t>
      </w:r>
      <w:r w:rsidR="00BC0AF7" w:rsidRPr="00011D21">
        <w:rPr>
          <w:rFonts w:ascii="Times New Roman" w:hAnsi="Times New Roman" w:cs="Times New Roman"/>
          <w:sz w:val="24"/>
          <w:szCs w:val="24"/>
          <w:lang w:val="es-CO"/>
        </w:rPr>
        <w:t xml:space="preserve"> vacunas aplicadas</w:t>
      </w:r>
      <w:r w:rsidR="00BC0AF7">
        <w:rPr>
          <w:rFonts w:ascii="Times New Roman" w:hAnsi="Times New Roman" w:cs="Times New Roman"/>
          <w:sz w:val="24"/>
          <w:szCs w:val="24"/>
          <w:lang w:val="es-CO"/>
        </w:rPr>
        <w:t xml:space="preserve"> p</w:t>
      </w:r>
      <w:r w:rsidR="00FF691C">
        <w:rPr>
          <w:rFonts w:ascii="Times New Roman" w:hAnsi="Times New Roman" w:cs="Times New Roman"/>
          <w:sz w:val="24"/>
          <w:szCs w:val="24"/>
          <w:lang w:val="es-CO"/>
        </w:rPr>
        <w:t>or</w:t>
      </w:r>
      <w:r w:rsidR="00BC0AF7">
        <w:rPr>
          <w:rFonts w:ascii="Times New Roman" w:hAnsi="Times New Roman" w:cs="Times New Roman"/>
          <w:sz w:val="24"/>
          <w:szCs w:val="24"/>
          <w:lang w:val="es-CO"/>
        </w:rPr>
        <w:t xml:space="preserve"> dosis</w:t>
      </w:r>
      <w:r w:rsidR="00BC0AF7" w:rsidRPr="00011D21">
        <w:rPr>
          <w:rFonts w:ascii="Times New Roman" w:hAnsi="Times New Roman" w:cs="Times New Roman"/>
          <w:sz w:val="24"/>
          <w:szCs w:val="24"/>
          <w:lang w:val="es-CO"/>
        </w:rPr>
        <w:t xml:space="preserve"> est</w:t>
      </w:r>
      <w:r w:rsidR="00BC0AF7">
        <w:rPr>
          <w:rFonts w:ascii="Times New Roman" w:hAnsi="Times New Roman" w:cs="Times New Roman"/>
          <w:sz w:val="24"/>
          <w:szCs w:val="24"/>
          <w:lang w:val="es-CO"/>
        </w:rPr>
        <w:t>uvieron</w:t>
      </w:r>
      <w:r w:rsidR="00BC0AF7" w:rsidRPr="00011D21">
        <w:rPr>
          <w:rFonts w:ascii="Times New Roman" w:hAnsi="Times New Roman" w:cs="Times New Roman"/>
          <w:sz w:val="24"/>
          <w:szCs w:val="24"/>
          <w:lang w:val="es-CO"/>
        </w:rPr>
        <w:t xml:space="preserve">: </w:t>
      </w:r>
      <w:r w:rsidR="00BC0AF7">
        <w:rPr>
          <w:rFonts w:ascii="Times New Roman" w:hAnsi="Times New Roman" w:cs="Times New Roman"/>
          <w:sz w:val="24"/>
          <w:szCs w:val="24"/>
          <w:lang w:val="es-CO"/>
        </w:rPr>
        <w:t>San Andrés y Providencia (87), Valle (56,75), Atlántico (56,75)</w:t>
      </w:r>
      <w:r w:rsidR="00BC0AF7" w:rsidRPr="00011D21">
        <w:rPr>
          <w:rFonts w:ascii="Times New Roman" w:hAnsi="Times New Roman" w:cs="Times New Roman"/>
          <w:sz w:val="24"/>
          <w:szCs w:val="24"/>
          <w:lang w:val="es-CO"/>
        </w:rPr>
        <w:t>,</w:t>
      </w:r>
      <w:r w:rsidR="00BC0AF7">
        <w:rPr>
          <w:rFonts w:ascii="Times New Roman" w:hAnsi="Times New Roman" w:cs="Times New Roman"/>
          <w:sz w:val="24"/>
          <w:szCs w:val="24"/>
          <w:lang w:val="es-CO"/>
        </w:rPr>
        <w:t xml:space="preserve"> Caldas (56,72), y Vaupés (56)</w:t>
      </w:r>
      <w:r w:rsidR="00410560">
        <w:rPr>
          <w:rFonts w:ascii="Times New Roman" w:hAnsi="Times New Roman" w:cs="Times New Roman"/>
          <w:sz w:val="24"/>
          <w:szCs w:val="24"/>
          <w:lang w:val="es-CO"/>
        </w:rPr>
        <w:t xml:space="preserve">. </w:t>
      </w:r>
      <w:r w:rsidRPr="0067169E">
        <w:rPr>
          <w:rFonts w:ascii="Times New Roman" w:hAnsi="Times New Roman" w:cs="Times New Roman"/>
          <w:b/>
          <w:bCs/>
          <w:sz w:val="24"/>
          <w:szCs w:val="24"/>
          <w:lang w:val="es-CO"/>
        </w:rPr>
        <w:t>Conclusión:</w:t>
      </w:r>
      <w:r w:rsidRPr="00DA3FA2">
        <w:rPr>
          <w:rFonts w:ascii="Times New Roman" w:hAnsi="Times New Roman" w:cs="Times New Roman"/>
          <w:i/>
          <w:iCs/>
          <w:sz w:val="24"/>
          <w:szCs w:val="24"/>
          <w:lang w:val="es-CO"/>
        </w:rPr>
        <w:t xml:space="preserve"> </w:t>
      </w:r>
      <w:r w:rsidR="00A058F0" w:rsidRPr="008910F2">
        <w:rPr>
          <w:rFonts w:ascii="Times New Roman" w:hAnsi="Times New Roman" w:cs="Times New Roman"/>
          <w:color w:val="000000" w:themeColor="text1"/>
          <w:sz w:val="24"/>
          <w:szCs w:val="24"/>
          <w:shd w:val="clear" w:color="auto" w:fill="FFFFFF"/>
          <w:lang w:val="es-CO"/>
        </w:rPr>
        <w:t>La vacunación es fundamental durante la pandemia de COVID-19 para disminuir las tasas de infección y las muertes. La eficacia de la vacuna estriba en la formación de una respuesta inmunitaria duradera y de la proporción de personas habilitadas a admitir la vacuna. </w:t>
      </w:r>
    </w:p>
    <w:p w14:paraId="4E5DFE1E" w14:textId="14B27B51" w:rsidR="00E1496D" w:rsidRPr="00DE0483" w:rsidRDefault="00E1496D" w:rsidP="00F9460E">
      <w:pPr>
        <w:spacing w:after="0" w:line="360" w:lineRule="auto"/>
        <w:jc w:val="both"/>
        <w:rPr>
          <w:rFonts w:ascii="Times New Roman" w:hAnsi="Times New Roman" w:cs="Times New Roman"/>
          <w:iCs/>
          <w:sz w:val="24"/>
          <w:szCs w:val="24"/>
          <w:lang w:val="es-CO"/>
        </w:rPr>
      </w:pPr>
      <w:r w:rsidRPr="00DE0483">
        <w:rPr>
          <w:rFonts w:ascii="Times New Roman" w:hAnsi="Times New Roman" w:cs="Times New Roman"/>
          <w:b/>
          <w:i/>
          <w:sz w:val="24"/>
          <w:szCs w:val="24"/>
          <w:lang w:val="es-CO"/>
        </w:rPr>
        <w:t>Palabras clave</w:t>
      </w:r>
      <w:r w:rsidRPr="00DE0483">
        <w:rPr>
          <w:rFonts w:ascii="Times New Roman" w:hAnsi="Times New Roman" w:cs="Times New Roman"/>
          <w:i/>
          <w:sz w:val="24"/>
          <w:szCs w:val="24"/>
          <w:lang w:val="es-CO"/>
        </w:rPr>
        <w:t>:</w:t>
      </w:r>
      <w:r w:rsidRPr="00DE0483">
        <w:rPr>
          <w:rFonts w:ascii="Times New Roman" w:hAnsi="Times New Roman" w:cs="Times New Roman"/>
          <w:iCs/>
          <w:sz w:val="24"/>
          <w:szCs w:val="24"/>
          <w:lang w:val="es-CO"/>
        </w:rPr>
        <w:t xml:space="preserve"> COVID-19, </w:t>
      </w:r>
      <w:r w:rsidRPr="00DE0483">
        <w:rPr>
          <w:rFonts w:ascii="Times New Roman" w:hAnsi="Times New Roman" w:cs="Times New Roman"/>
          <w:iCs/>
          <w:sz w:val="24"/>
          <w:szCs w:val="24"/>
          <w:shd w:val="clear" w:color="auto" w:fill="FFFFFF"/>
          <w:lang w:val="es-CO"/>
        </w:rPr>
        <w:t xml:space="preserve">SARS-CoV-2, pandemia, </w:t>
      </w:r>
      <w:r w:rsidRPr="00DE0483">
        <w:rPr>
          <w:rFonts w:ascii="Times New Roman" w:hAnsi="Times New Roman" w:cs="Times New Roman"/>
          <w:iCs/>
          <w:sz w:val="24"/>
          <w:szCs w:val="24"/>
          <w:lang w:val="es-CO"/>
        </w:rPr>
        <w:t>vacunas.</w:t>
      </w:r>
    </w:p>
    <w:p w14:paraId="1E3197E3" w14:textId="783B80DE" w:rsidR="00AF7E6E" w:rsidRDefault="00DE0483" w:rsidP="00F9460E">
      <w:pPr>
        <w:spacing w:after="0" w:line="360" w:lineRule="auto"/>
        <w:jc w:val="both"/>
        <w:rPr>
          <w:rFonts w:ascii="Times New Roman" w:eastAsia="Times New Roman" w:hAnsi="Times New Roman" w:cs="Times New Roman"/>
          <w:b/>
          <w:bCs/>
          <w:iCs/>
          <w:sz w:val="24"/>
          <w:szCs w:val="24"/>
          <w:lang w:val="es-CO" w:eastAsia="es-CO"/>
        </w:rPr>
      </w:pPr>
      <w:r w:rsidRPr="00DE0483">
        <w:rPr>
          <w:rFonts w:ascii="Times New Roman" w:eastAsia="Times New Roman" w:hAnsi="Times New Roman" w:cs="Times New Roman"/>
          <w:b/>
          <w:bCs/>
          <w:iCs/>
          <w:sz w:val="24"/>
          <w:szCs w:val="24"/>
          <w:lang w:val="es-CO" w:eastAsia="es-CO"/>
        </w:rPr>
        <w:t>Abstract</w:t>
      </w:r>
    </w:p>
    <w:p w14:paraId="713275C0" w14:textId="1783D2E2" w:rsidR="00DE0483" w:rsidRPr="00DE0483" w:rsidRDefault="00DE0483" w:rsidP="00DE0483">
      <w:pPr>
        <w:spacing w:after="0" w:line="360" w:lineRule="auto"/>
        <w:jc w:val="both"/>
        <w:rPr>
          <w:rFonts w:ascii="Times New Roman" w:eastAsia="Times New Roman" w:hAnsi="Times New Roman" w:cs="Times New Roman"/>
          <w:iCs/>
          <w:sz w:val="24"/>
          <w:szCs w:val="24"/>
          <w:lang w:eastAsia="es-CO"/>
        </w:rPr>
      </w:pPr>
      <w:r w:rsidRPr="00DE0483">
        <w:rPr>
          <w:rFonts w:ascii="Times New Roman" w:eastAsia="Times New Roman" w:hAnsi="Times New Roman" w:cs="Times New Roman"/>
          <w:b/>
          <w:bCs/>
          <w:iCs/>
          <w:sz w:val="24"/>
          <w:szCs w:val="24"/>
          <w:lang w:eastAsia="es-CO"/>
        </w:rPr>
        <w:t>Introduction</w:t>
      </w:r>
      <w:r w:rsidRPr="00DE0483">
        <w:rPr>
          <w:rFonts w:ascii="Times New Roman" w:eastAsia="Times New Roman" w:hAnsi="Times New Roman" w:cs="Times New Roman"/>
          <w:iCs/>
          <w:sz w:val="24"/>
          <w:szCs w:val="24"/>
          <w:lang w:eastAsia="es-CO"/>
        </w:rPr>
        <w:t xml:space="preserve">: Vaccines to prevent severe acute respiratory syndrome coronavirus 2 (SARS-CoV-2) infection are the most promising approach to quell the pandemic. </w:t>
      </w:r>
      <w:r w:rsidRPr="00DE0483">
        <w:rPr>
          <w:rFonts w:ascii="Times New Roman" w:eastAsia="Times New Roman" w:hAnsi="Times New Roman" w:cs="Times New Roman"/>
          <w:b/>
          <w:bCs/>
          <w:iCs/>
          <w:sz w:val="24"/>
          <w:szCs w:val="24"/>
          <w:lang w:eastAsia="es-CO"/>
        </w:rPr>
        <w:t>Objective</w:t>
      </w:r>
      <w:r w:rsidRPr="00DE0483">
        <w:rPr>
          <w:rFonts w:ascii="Times New Roman" w:eastAsia="Times New Roman" w:hAnsi="Times New Roman" w:cs="Times New Roman"/>
          <w:iCs/>
          <w:sz w:val="24"/>
          <w:szCs w:val="24"/>
          <w:lang w:eastAsia="es-CO"/>
        </w:rPr>
        <w:t xml:space="preserve">: to show the progress of vaccines distributed, </w:t>
      </w:r>
      <w:r w:rsidRPr="00DE0483">
        <w:rPr>
          <w:rFonts w:ascii="Times New Roman" w:eastAsia="Times New Roman" w:hAnsi="Times New Roman" w:cs="Times New Roman"/>
          <w:iCs/>
          <w:sz w:val="24"/>
          <w:szCs w:val="24"/>
          <w:lang w:eastAsia="es-CO"/>
        </w:rPr>
        <w:t>assigned,</w:t>
      </w:r>
      <w:r w:rsidRPr="00DE0483">
        <w:rPr>
          <w:rFonts w:ascii="Times New Roman" w:eastAsia="Times New Roman" w:hAnsi="Times New Roman" w:cs="Times New Roman"/>
          <w:iCs/>
          <w:sz w:val="24"/>
          <w:szCs w:val="24"/>
          <w:lang w:eastAsia="es-CO"/>
        </w:rPr>
        <w:t xml:space="preserve"> and applied per dose for vaccination against SARS-COV-2 in the territorial entities of Colombia, between the period from February 17 to August 5, 2021. </w:t>
      </w:r>
      <w:r w:rsidRPr="00DE0483">
        <w:rPr>
          <w:rFonts w:ascii="Times New Roman" w:eastAsia="Times New Roman" w:hAnsi="Times New Roman" w:cs="Times New Roman"/>
          <w:b/>
          <w:bCs/>
          <w:iCs/>
          <w:sz w:val="24"/>
          <w:szCs w:val="24"/>
          <w:lang w:eastAsia="es-CO"/>
        </w:rPr>
        <w:t>Methodology</w:t>
      </w:r>
      <w:r w:rsidRPr="00DE0483">
        <w:rPr>
          <w:rFonts w:ascii="Times New Roman" w:eastAsia="Times New Roman" w:hAnsi="Times New Roman" w:cs="Times New Roman"/>
          <w:iCs/>
          <w:sz w:val="24"/>
          <w:szCs w:val="24"/>
          <w:lang w:eastAsia="es-CO"/>
        </w:rPr>
        <w:t xml:space="preserve">: This was an analytical cross-sectional study designed specifically to collect information on vaccines administered in Colombia, as a source of information it was obtained from the national vaccination plan against COVID-19 on the website of the Ministry of Health and Social Protection. </w:t>
      </w:r>
      <w:r w:rsidRPr="00DE0483">
        <w:rPr>
          <w:rFonts w:ascii="Times New Roman" w:eastAsia="Times New Roman" w:hAnsi="Times New Roman" w:cs="Times New Roman"/>
          <w:b/>
          <w:bCs/>
          <w:iCs/>
          <w:sz w:val="24"/>
          <w:szCs w:val="24"/>
          <w:lang w:eastAsia="es-CO"/>
        </w:rPr>
        <w:t>Results</w:t>
      </w:r>
      <w:r w:rsidRPr="00DE0483">
        <w:rPr>
          <w:rFonts w:ascii="Times New Roman" w:eastAsia="Times New Roman" w:hAnsi="Times New Roman" w:cs="Times New Roman"/>
          <w:iCs/>
          <w:sz w:val="24"/>
          <w:szCs w:val="24"/>
          <w:lang w:eastAsia="es-CO"/>
        </w:rPr>
        <w:t xml:space="preserve">: the territorial entities with the highest percentage of assigned doses </w:t>
      </w:r>
      <w:r w:rsidRPr="00DE0483">
        <w:rPr>
          <w:rFonts w:ascii="Times New Roman" w:eastAsia="Times New Roman" w:hAnsi="Times New Roman" w:cs="Times New Roman"/>
          <w:iCs/>
          <w:sz w:val="24"/>
          <w:szCs w:val="24"/>
          <w:lang w:eastAsia="es-CO"/>
        </w:rPr>
        <w:t>were</w:t>
      </w:r>
      <w:r w:rsidRPr="00DE0483">
        <w:rPr>
          <w:rFonts w:ascii="Times New Roman" w:eastAsia="Times New Roman" w:hAnsi="Times New Roman" w:cs="Times New Roman"/>
          <w:iCs/>
          <w:sz w:val="24"/>
          <w:szCs w:val="24"/>
          <w:lang w:eastAsia="es-CO"/>
        </w:rPr>
        <w:t xml:space="preserve"> Bogotá (18.61), Antioquia (14.92), Valle del Cauca (8.82), and the territorial entities with the highest percentage of vaccines applied per dose were: San Andrés and Providencia (87), Valle (56.75), Atlántico (56.75), Caldas (56.72), and Vaupés (56). </w:t>
      </w:r>
      <w:r w:rsidRPr="00DE0483">
        <w:rPr>
          <w:rFonts w:ascii="Times New Roman" w:eastAsia="Times New Roman" w:hAnsi="Times New Roman" w:cs="Times New Roman"/>
          <w:b/>
          <w:bCs/>
          <w:iCs/>
          <w:sz w:val="24"/>
          <w:szCs w:val="24"/>
          <w:lang w:eastAsia="es-CO"/>
        </w:rPr>
        <w:t>Conclusion</w:t>
      </w:r>
      <w:r w:rsidRPr="00DE0483">
        <w:rPr>
          <w:rFonts w:ascii="Times New Roman" w:eastAsia="Times New Roman" w:hAnsi="Times New Roman" w:cs="Times New Roman"/>
          <w:iCs/>
          <w:sz w:val="24"/>
          <w:szCs w:val="24"/>
          <w:lang w:eastAsia="es-CO"/>
        </w:rPr>
        <w:t>: Vaccination is essential during the COVID-19 pandemic to decrease infection rates and deaths. The efficacy of the vaccine is based on the formation of a lasting immune response and the proportion of people able to take the vaccine.</w:t>
      </w:r>
    </w:p>
    <w:p w14:paraId="1DCBCE4B" w14:textId="3AA46DEF" w:rsidR="00DE0483" w:rsidRPr="00DE0483" w:rsidRDefault="00DE0483" w:rsidP="00DE0483">
      <w:pPr>
        <w:spacing w:after="0" w:line="360" w:lineRule="auto"/>
        <w:jc w:val="both"/>
        <w:rPr>
          <w:rFonts w:ascii="Times New Roman" w:eastAsia="Times New Roman" w:hAnsi="Times New Roman" w:cs="Times New Roman"/>
          <w:b/>
          <w:bCs/>
          <w:iCs/>
          <w:sz w:val="24"/>
          <w:szCs w:val="24"/>
          <w:lang w:eastAsia="es-CO"/>
        </w:rPr>
      </w:pPr>
      <w:r w:rsidRPr="00DE0483">
        <w:rPr>
          <w:rFonts w:ascii="Times New Roman" w:eastAsia="Times New Roman" w:hAnsi="Times New Roman" w:cs="Times New Roman"/>
          <w:b/>
          <w:bCs/>
          <w:iCs/>
          <w:sz w:val="24"/>
          <w:szCs w:val="24"/>
          <w:lang w:eastAsia="es-CO"/>
        </w:rPr>
        <w:t>Key</w:t>
      </w:r>
      <w:r w:rsidRPr="00DE0483">
        <w:rPr>
          <w:rFonts w:ascii="Times New Roman" w:eastAsia="Times New Roman" w:hAnsi="Times New Roman" w:cs="Times New Roman"/>
          <w:b/>
          <w:bCs/>
          <w:iCs/>
          <w:sz w:val="24"/>
          <w:szCs w:val="24"/>
          <w:lang w:eastAsia="es-CO"/>
        </w:rPr>
        <w:t xml:space="preserve"> </w:t>
      </w:r>
      <w:r w:rsidRPr="00DE0483">
        <w:rPr>
          <w:rFonts w:ascii="Times New Roman" w:eastAsia="Times New Roman" w:hAnsi="Times New Roman" w:cs="Times New Roman"/>
          <w:b/>
          <w:bCs/>
          <w:iCs/>
          <w:sz w:val="24"/>
          <w:szCs w:val="24"/>
          <w:lang w:eastAsia="es-CO"/>
        </w:rPr>
        <w:t>words</w:t>
      </w:r>
      <w:r w:rsidRPr="00DE0483">
        <w:rPr>
          <w:rFonts w:ascii="Times New Roman" w:eastAsia="Times New Roman" w:hAnsi="Times New Roman" w:cs="Times New Roman"/>
          <w:iCs/>
          <w:sz w:val="24"/>
          <w:szCs w:val="24"/>
          <w:lang w:eastAsia="es-CO"/>
        </w:rPr>
        <w:t>: COVID-19, SARS-CoV-2, pandemic, vaccines</w:t>
      </w:r>
      <w:r w:rsidRPr="00DE0483">
        <w:rPr>
          <w:rFonts w:ascii="Times New Roman" w:eastAsia="Times New Roman" w:hAnsi="Times New Roman" w:cs="Times New Roman"/>
          <w:b/>
          <w:bCs/>
          <w:iCs/>
          <w:sz w:val="24"/>
          <w:szCs w:val="24"/>
          <w:lang w:eastAsia="es-CO"/>
        </w:rPr>
        <w:t>.</w:t>
      </w:r>
    </w:p>
    <w:p w14:paraId="15ECDB44" w14:textId="77777777" w:rsidR="00DE0483" w:rsidRPr="00DE0483" w:rsidRDefault="00DE0483" w:rsidP="002127FA">
      <w:pPr>
        <w:spacing w:line="360" w:lineRule="auto"/>
        <w:jc w:val="both"/>
        <w:rPr>
          <w:rFonts w:ascii="Times New Roman" w:hAnsi="Times New Roman" w:cs="Times New Roman"/>
          <w:b/>
          <w:bCs/>
          <w:sz w:val="24"/>
          <w:szCs w:val="24"/>
        </w:rPr>
      </w:pPr>
    </w:p>
    <w:p w14:paraId="73824F7E" w14:textId="18EB4CC5" w:rsidR="00E1496D" w:rsidRPr="00084F20" w:rsidRDefault="00E1496D" w:rsidP="002127FA">
      <w:pPr>
        <w:spacing w:line="360" w:lineRule="auto"/>
        <w:jc w:val="both"/>
        <w:rPr>
          <w:rFonts w:ascii="Times New Roman" w:hAnsi="Times New Roman" w:cs="Times New Roman"/>
          <w:b/>
          <w:bCs/>
          <w:sz w:val="24"/>
          <w:szCs w:val="24"/>
          <w:lang w:val="es-CO"/>
        </w:rPr>
      </w:pPr>
      <w:r w:rsidRPr="00084F20">
        <w:rPr>
          <w:rFonts w:ascii="Times New Roman" w:hAnsi="Times New Roman" w:cs="Times New Roman"/>
          <w:b/>
          <w:bCs/>
          <w:sz w:val="24"/>
          <w:szCs w:val="24"/>
          <w:lang w:val="es-CO"/>
        </w:rPr>
        <w:t>Introducción</w:t>
      </w:r>
    </w:p>
    <w:p w14:paraId="039A8903" w14:textId="77777777" w:rsidR="00916721" w:rsidRPr="002127FA" w:rsidRDefault="00916721" w:rsidP="00916721">
      <w:pPr>
        <w:spacing w:line="360" w:lineRule="auto"/>
        <w:jc w:val="both"/>
        <w:rPr>
          <w:rStyle w:val="A6"/>
          <w:rFonts w:ascii="Times New Roman" w:hAnsi="Times New Roman" w:cs="Times New Roman"/>
          <w:sz w:val="24"/>
          <w:szCs w:val="24"/>
          <w:lang w:val="es-CO"/>
        </w:rPr>
      </w:pPr>
      <w:r w:rsidRPr="00C00144">
        <w:rPr>
          <w:rFonts w:ascii="Times New Roman" w:hAnsi="Times New Roman" w:cs="Times New Roman"/>
          <w:sz w:val="24"/>
          <w:szCs w:val="24"/>
          <w:lang w:val="es-CO"/>
        </w:rPr>
        <w:t>Para colocar fin a esta pandemia, una gran parte del mundo debe ser inmune al virus. La evidencia más segura de lograrlo es con una vacuna. Las vacunas son una tecnología en la que la humanidad ha confiado a menudo en el pasado para reducir el número de muertes por enfermedades infecciosas</w:t>
      </w:r>
      <w:r>
        <w:rPr>
          <w:rFonts w:ascii="Times New Roman" w:hAnsi="Times New Roman" w:cs="Times New Roman"/>
          <w:sz w:val="24"/>
          <w:szCs w:val="24"/>
          <w:lang w:val="es-CO"/>
        </w:rPr>
        <w:t xml:space="preserve"> </w:t>
      </w:r>
      <w:r w:rsidRPr="00116ECC">
        <w:rPr>
          <w:rFonts w:ascii="Times New Roman" w:hAnsi="Times New Roman" w:cs="Times New Roman"/>
          <w:sz w:val="24"/>
          <w:szCs w:val="24"/>
          <w:lang w:val="es-CO"/>
        </w:rPr>
        <w:t>(1)</w:t>
      </w:r>
      <w:r w:rsidRPr="00116ECC">
        <w:rPr>
          <w:rFonts w:ascii="Times New Roman" w:hAnsi="Times New Roman" w:cs="Times New Roman"/>
          <w:color w:val="1D3D63"/>
          <w:sz w:val="24"/>
          <w:szCs w:val="24"/>
          <w:shd w:val="clear" w:color="auto" w:fill="FAFAFA"/>
          <w:lang w:val="es-CO"/>
        </w:rPr>
        <w:t>.</w:t>
      </w:r>
      <w:r w:rsidRPr="002127FA">
        <w:rPr>
          <w:rStyle w:val="A6"/>
          <w:rFonts w:ascii="Times New Roman" w:hAnsi="Times New Roman" w:cs="Times New Roman"/>
          <w:sz w:val="24"/>
          <w:szCs w:val="24"/>
          <w:lang w:val="es-CO"/>
        </w:rPr>
        <w:t xml:space="preserve"> </w:t>
      </w:r>
    </w:p>
    <w:p w14:paraId="016B7707" w14:textId="77777777" w:rsidR="00916721" w:rsidRDefault="00916721" w:rsidP="00916721">
      <w:pPr>
        <w:spacing w:line="360" w:lineRule="auto"/>
        <w:jc w:val="both"/>
        <w:rPr>
          <w:rFonts w:ascii="Times New Roman" w:hAnsi="Times New Roman" w:cs="Times New Roman"/>
          <w:sz w:val="24"/>
          <w:szCs w:val="24"/>
          <w:shd w:val="clear" w:color="auto" w:fill="FFFFFF"/>
          <w:lang w:val="es-CO"/>
        </w:rPr>
      </w:pPr>
      <w:r w:rsidRPr="00BA32BF">
        <w:rPr>
          <w:rFonts w:ascii="Times New Roman" w:hAnsi="Times New Roman" w:cs="Times New Roman"/>
          <w:sz w:val="24"/>
          <w:szCs w:val="24"/>
          <w:shd w:val="clear" w:color="auto" w:fill="FFFFFF"/>
          <w:lang w:val="es-CO"/>
        </w:rPr>
        <w:t>El camino equitativo a vacunas seguras y efectivas es primordial para poner fin a la pandemia de COVID-19, por lo que es muy confortador ver tantas vacunas probando y en desarrollo. La OMS trabaja tenazmente con sus socios para desarrollar, fabricar y desplegar vacunas seguras y eficaces</w:t>
      </w:r>
      <w:r>
        <w:rPr>
          <w:rFonts w:ascii="Times New Roman" w:hAnsi="Times New Roman" w:cs="Times New Roman"/>
          <w:sz w:val="24"/>
          <w:szCs w:val="24"/>
          <w:shd w:val="clear" w:color="auto" w:fill="FFFFFF"/>
          <w:lang w:val="es-CO"/>
        </w:rPr>
        <w:t xml:space="preserve"> </w:t>
      </w:r>
      <w:r w:rsidRPr="00116ECC">
        <w:rPr>
          <w:rFonts w:ascii="Times New Roman" w:hAnsi="Times New Roman" w:cs="Times New Roman"/>
          <w:sz w:val="24"/>
          <w:szCs w:val="24"/>
          <w:shd w:val="clear" w:color="auto" w:fill="FFFFFF"/>
          <w:lang w:val="es-CO"/>
        </w:rPr>
        <w:t>(2).</w:t>
      </w:r>
    </w:p>
    <w:p w14:paraId="12C1FCC8" w14:textId="77777777" w:rsidR="00916721" w:rsidRPr="00826BC8" w:rsidRDefault="00916721" w:rsidP="00916721">
      <w:pPr>
        <w:spacing w:line="360" w:lineRule="auto"/>
        <w:jc w:val="both"/>
        <w:rPr>
          <w:rFonts w:ascii="Times New Roman" w:hAnsi="Times New Roman" w:cs="Times New Roman"/>
          <w:lang w:val="es-CO"/>
        </w:rPr>
      </w:pPr>
      <w:r w:rsidRPr="00826BC8">
        <w:rPr>
          <w:rFonts w:ascii="Times New Roman" w:hAnsi="Times New Roman" w:cs="Times New Roman"/>
          <w:sz w:val="24"/>
          <w:szCs w:val="24"/>
          <w:lang w:val="es-CO"/>
        </w:rPr>
        <w:t>A nivel global, en estos instantes hay en desarrollo un total de 251 vacunas en contra de COVID-19</w:t>
      </w:r>
      <w:r>
        <w:rPr>
          <w:rFonts w:ascii="Times New Roman" w:hAnsi="Times New Roman" w:cs="Times New Roman"/>
          <w:sz w:val="24"/>
          <w:szCs w:val="24"/>
          <w:lang w:val="es-CO"/>
        </w:rPr>
        <w:t xml:space="preserve"> </w:t>
      </w:r>
      <w:r w:rsidRPr="00116ECC">
        <w:rPr>
          <w:rFonts w:ascii="Times New Roman" w:hAnsi="Times New Roman" w:cs="Times New Roman"/>
          <w:sz w:val="24"/>
          <w:szCs w:val="24"/>
          <w:lang w:val="es-CO"/>
        </w:rPr>
        <w:t>(3).</w:t>
      </w:r>
      <w:r w:rsidRPr="00826BC8">
        <w:rPr>
          <w:rFonts w:ascii="Times New Roman" w:hAnsi="Times New Roman" w:cs="Times New Roman"/>
          <w:sz w:val="24"/>
          <w:szCs w:val="24"/>
          <w:lang w:val="es-CO"/>
        </w:rPr>
        <w:t xml:space="preserve"> </w:t>
      </w:r>
      <w:r w:rsidRPr="00826BC8">
        <w:rPr>
          <w:rFonts w:ascii="Times New Roman" w:hAnsi="Times New Roman" w:cs="Times New Roman"/>
          <w:lang w:val="es-CO"/>
        </w:rPr>
        <w:t>Con millones de personas vacunadas, se puede indicar con certeza que las vacunas de COVID-19 son seguras. Los efectos adversos severos, tales como reacciones de anafilaxia, se consideran muy infrecuentes</w:t>
      </w:r>
      <w:r>
        <w:rPr>
          <w:rFonts w:ascii="Times New Roman" w:hAnsi="Times New Roman" w:cs="Times New Roman"/>
          <w:lang w:val="es-CO"/>
        </w:rPr>
        <w:t xml:space="preserve"> </w:t>
      </w:r>
      <w:r w:rsidRPr="00116ECC">
        <w:rPr>
          <w:rFonts w:ascii="Times New Roman" w:hAnsi="Times New Roman" w:cs="Times New Roman"/>
          <w:lang w:val="es-CO"/>
        </w:rPr>
        <w:t>(4).</w:t>
      </w:r>
    </w:p>
    <w:p w14:paraId="0E4C1BF3" w14:textId="27419092" w:rsidR="00FB2EDC" w:rsidRPr="00FB2EDC" w:rsidRDefault="00FB2EDC" w:rsidP="00FB2EDC">
      <w:pPr>
        <w:spacing w:line="360" w:lineRule="auto"/>
        <w:jc w:val="both"/>
        <w:rPr>
          <w:rFonts w:ascii="Times New Roman" w:hAnsi="Times New Roman" w:cs="Times New Roman"/>
          <w:color w:val="222222"/>
          <w:sz w:val="24"/>
          <w:szCs w:val="24"/>
          <w:shd w:val="clear" w:color="auto" w:fill="FFFFFF"/>
          <w:vertAlign w:val="superscript"/>
          <w:lang w:val="es-CO"/>
        </w:rPr>
      </w:pPr>
      <w:r w:rsidRPr="00FB2EDC">
        <w:rPr>
          <w:rFonts w:ascii="Times New Roman" w:hAnsi="Times New Roman" w:cs="Times New Roman"/>
          <w:color w:val="222222"/>
          <w:sz w:val="24"/>
          <w:szCs w:val="24"/>
          <w:shd w:val="clear" w:color="auto" w:fill="FFFFFF"/>
          <w:lang w:val="es-CO"/>
        </w:rPr>
        <w:t xml:space="preserve">Las vacunas para </w:t>
      </w:r>
      <w:r w:rsidR="00474DD2">
        <w:rPr>
          <w:rFonts w:ascii="Times New Roman" w:hAnsi="Times New Roman" w:cs="Times New Roman"/>
          <w:color w:val="222222"/>
          <w:sz w:val="24"/>
          <w:szCs w:val="24"/>
          <w:shd w:val="clear" w:color="auto" w:fill="FFFFFF"/>
          <w:lang w:val="es-CO"/>
        </w:rPr>
        <w:t>evitar</w:t>
      </w:r>
      <w:r w:rsidRPr="00FB2EDC">
        <w:rPr>
          <w:rFonts w:ascii="Times New Roman" w:hAnsi="Times New Roman" w:cs="Times New Roman"/>
          <w:color w:val="222222"/>
          <w:sz w:val="24"/>
          <w:szCs w:val="24"/>
          <w:shd w:val="clear" w:color="auto" w:fill="FFFFFF"/>
          <w:lang w:val="es-CO"/>
        </w:rPr>
        <w:t xml:space="preserve"> la infección por coronavirus 2 (SARS-CoV-2) del síndrome respiratorio agudo severo se </w:t>
      </w:r>
      <w:r w:rsidR="00474DD2">
        <w:rPr>
          <w:rFonts w:ascii="Times New Roman" w:hAnsi="Times New Roman" w:cs="Times New Roman"/>
          <w:color w:val="222222"/>
          <w:sz w:val="24"/>
          <w:szCs w:val="24"/>
          <w:shd w:val="clear" w:color="auto" w:fill="FFFFFF"/>
          <w:lang w:val="es-CO"/>
        </w:rPr>
        <w:t>observa</w:t>
      </w:r>
      <w:r w:rsidRPr="00FB2EDC">
        <w:rPr>
          <w:rFonts w:ascii="Times New Roman" w:hAnsi="Times New Roman" w:cs="Times New Roman"/>
          <w:color w:val="222222"/>
          <w:sz w:val="24"/>
          <w:szCs w:val="24"/>
          <w:shd w:val="clear" w:color="auto" w:fill="FFFFFF"/>
          <w:lang w:val="es-CO"/>
        </w:rPr>
        <w:t xml:space="preserve"> el enfoque más prometedor para </w:t>
      </w:r>
      <w:r w:rsidR="00474DD2" w:rsidRPr="00FB2EDC">
        <w:rPr>
          <w:rFonts w:ascii="Times New Roman" w:hAnsi="Times New Roman" w:cs="Times New Roman"/>
          <w:color w:val="222222"/>
          <w:sz w:val="24"/>
          <w:szCs w:val="24"/>
          <w:shd w:val="clear" w:color="auto" w:fill="FFFFFF"/>
          <w:lang w:val="es-CO"/>
        </w:rPr>
        <w:t>aplacar</w:t>
      </w:r>
      <w:r w:rsidRPr="00FB2EDC">
        <w:rPr>
          <w:rFonts w:ascii="Times New Roman" w:hAnsi="Times New Roman" w:cs="Times New Roman"/>
          <w:color w:val="222222"/>
          <w:sz w:val="24"/>
          <w:szCs w:val="24"/>
          <w:shd w:val="clear" w:color="auto" w:fill="FFFFFF"/>
          <w:lang w:val="es-CO"/>
        </w:rPr>
        <w:t xml:space="preserve"> la pandemia. Hay varios tipos de vacunas contra el SARS-CoV-2 y las vacunas basadas en ARNm fueron las primeras en ser aprobadas por la FDA con una eficacia del 94 al 95% para prevenir una enfermedad sintomática</w:t>
      </w:r>
      <w:r w:rsidR="00E70908">
        <w:rPr>
          <w:rFonts w:ascii="Times New Roman" w:hAnsi="Times New Roman" w:cs="Times New Roman"/>
          <w:color w:val="222222"/>
          <w:sz w:val="24"/>
          <w:szCs w:val="24"/>
          <w:shd w:val="clear" w:color="auto" w:fill="FFFFFF"/>
          <w:lang w:val="es-CO"/>
        </w:rPr>
        <w:t xml:space="preserve"> (</w:t>
      </w:r>
      <w:r w:rsidR="00A60A77">
        <w:rPr>
          <w:rFonts w:ascii="Times New Roman" w:hAnsi="Times New Roman" w:cs="Times New Roman"/>
          <w:color w:val="222222"/>
          <w:sz w:val="24"/>
          <w:szCs w:val="24"/>
          <w:shd w:val="clear" w:color="auto" w:fill="FFFFFF"/>
          <w:lang w:val="es-CO"/>
        </w:rPr>
        <w:t>5</w:t>
      </w:r>
      <w:r w:rsidR="00E70908">
        <w:rPr>
          <w:rFonts w:ascii="Times New Roman" w:hAnsi="Times New Roman" w:cs="Times New Roman"/>
          <w:color w:val="222222"/>
          <w:sz w:val="24"/>
          <w:szCs w:val="24"/>
          <w:shd w:val="clear" w:color="auto" w:fill="FFFFFF"/>
          <w:lang w:val="es-CO"/>
        </w:rPr>
        <w:t>,</w:t>
      </w:r>
      <w:r w:rsidR="00A60A77">
        <w:rPr>
          <w:rFonts w:ascii="Times New Roman" w:hAnsi="Times New Roman" w:cs="Times New Roman"/>
          <w:color w:val="222222"/>
          <w:sz w:val="24"/>
          <w:szCs w:val="24"/>
          <w:shd w:val="clear" w:color="auto" w:fill="FFFFFF"/>
          <w:lang w:val="es-CO"/>
        </w:rPr>
        <w:t>6</w:t>
      </w:r>
      <w:r w:rsidR="00E70908">
        <w:rPr>
          <w:rFonts w:ascii="Times New Roman" w:hAnsi="Times New Roman" w:cs="Times New Roman"/>
          <w:color w:val="222222"/>
          <w:sz w:val="24"/>
          <w:szCs w:val="24"/>
          <w:shd w:val="clear" w:color="auto" w:fill="FFFFFF"/>
          <w:lang w:val="es-CO"/>
        </w:rPr>
        <w:t>,</w:t>
      </w:r>
      <w:r w:rsidR="00A60A77">
        <w:rPr>
          <w:rFonts w:ascii="Times New Roman" w:hAnsi="Times New Roman" w:cs="Times New Roman"/>
          <w:color w:val="222222"/>
          <w:sz w:val="24"/>
          <w:szCs w:val="24"/>
          <w:shd w:val="clear" w:color="auto" w:fill="FFFFFF"/>
          <w:lang w:val="es-CO"/>
        </w:rPr>
        <w:t>7</w:t>
      </w:r>
      <w:r w:rsidR="00E70908">
        <w:rPr>
          <w:rFonts w:ascii="Times New Roman" w:hAnsi="Times New Roman" w:cs="Times New Roman"/>
          <w:color w:val="222222"/>
          <w:sz w:val="24"/>
          <w:szCs w:val="24"/>
          <w:shd w:val="clear" w:color="auto" w:fill="FFFFFF"/>
          <w:lang w:val="es-CO"/>
        </w:rPr>
        <w:t>).</w:t>
      </w:r>
      <w:r w:rsidR="00A60A77">
        <w:rPr>
          <w:rFonts w:ascii="Times New Roman" w:hAnsi="Times New Roman" w:cs="Times New Roman"/>
          <w:color w:val="222222"/>
          <w:sz w:val="24"/>
          <w:szCs w:val="24"/>
          <w:shd w:val="clear" w:color="auto" w:fill="FFFFFF"/>
          <w:lang w:val="es-CO"/>
        </w:rPr>
        <w:t xml:space="preserve">  </w:t>
      </w:r>
    </w:p>
    <w:p w14:paraId="62DCA0DF" w14:textId="77777777" w:rsidR="00FB2EDC" w:rsidRPr="00FB2EDC" w:rsidRDefault="00FB2EDC" w:rsidP="00FB2EDC">
      <w:pPr>
        <w:spacing w:after="0" w:line="240" w:lineRule="auto"/>
        <w:jc w:val="both"/>
        <w:rPr>
          <w:rFonts w:ascii="Times New Roman" w:eastAsia="Times New Roman" w:hAnsi="Times New Roman" w:cs="Times New Roman"/>
          <w:color w:val="222222"/>
          <w:sz w:val="24"/>
          <w:szCs w:val="24"/>
          <w:lang w:val="es-CO" w:eastAsia="es-CO"/>
        </w:rPr>
      </w:pPr>
    </w:p>
    <w:p w14:paraId="58667299" w14:textId="042C5D90" w:rsidR="00FB2EDC" w:rsidRDefault="000433BC" w:rsidP="00FB2EDC">
      <w:pPr>
        <w:spacing w:line="360" w:lineRule="auto"/>
        <w:jc w:val="both"/>
        <w:rPr>
          <w:rFonts w:ascii="Times New Roman" w:hAnsi="Times New Roman" w:cs="Times New Roman"/>
          <w:color w:val="222222"/>
          <w:sz w:val="24"/>
          <w:szCs w:val="24"/>
          <w:shd w:val="clear" w:color="auto" w:fill="FFFFFF"/>
          <w:lang w:val="es-CO"/>
        </w:rPr>
      </w:pPr>
      <w:r w:rsidRPr="000433BC">
        <w:rPr>
          <w:rFonts w:ascii="Times New Roman" w:hAnsi="Times New Roman" w:cs="Times New Roman"/>
          <w:color w:val="222222"/>
          <w:sz w:val="24"/>
          <w:szCs w:val="24"/>
          <w:shd w:val="clear" w:color="auto" w:fill="FFFFFF"/>
          <w:lang w:val="es-CO"/>
        </w:rPr>
        <w:t xml:space="preserve">La producción </w:t>
      </w:r>
      <w:r w:rsidR="008D5504">
        <w:rPr>
          <w:rFonts w:ascii="Times New Roman" w:hAnsi="Times New Roman" w:cs="Times New Roman"/>
          <w:color w:val="222222"/>
          <w:sz w:val="24"/>
          <w:szCs w:val="24"/>
          <w:shd w:val="clear" w:color="auto" w:fill="FFFFFF"/>
          <w:lang w:val="es-CO"/>
        </w:rPr>
        <w:t>rápida</w:t>
      </w:r>
      <w:r w:rsidRPr="000433BC">
        <w:rPr>
          <w:rFonts w:ascii="Times New Roman" w:hAnsi="Times New Roman" w:cs="Times New Roman"/>
          <w:color w:val="222222"/>
          <w:sz w:val="24"/>
          <w:szCs w:val="24"/>
          <w:shd w:val="clear" w:color="auto" w:fill="FFFFFF"/>
          <w:lang w:val="es-CO"/>
        </w:rPr>
        <w:t xml:space="preserve"> de vacunas sugiere que las pruebas de seguridad se realizaron en un año, un período de tiempo significativamente más corto que los períodos </w:t>
      </w:r>
      <w:r w:rsidR="008D5504" w:rsidRPr="000433BC">
        <w:rPr>
          <w:rFonts w:ascii="Times New Roman" w:hAnsi="Times New Roman" w:cs="Times New Roman"/>
          <w:color w:val="222222"/>
          <w:sz w:val="24"/>
          <w:szCs w:val="24"/>
          <w:shd w:val="clear" w:color="auto" w:fill="FFFFFF"/>
          <w:lang w:val="es-CO"/>
        </w:rPr>
        <w:t>reconocidos</w:t>
      </w:r>
      <w:r w:rsidR="00E70908">
        <w:rPr>
          <w:rFonts w:ascii="Times New Roman" w:hAnsi="Times New Roman" w:cs="Times New Roman"/>
          <w:color w:val="222222"/>
          <w:sz w:val="24"/>
          <w:szCs w:val="24"/>
          <w:shd w:val="clear" w:color="auto" w:fill="FFFFFF"/>
          <w:lang w:val="es-CO"/>
        </w:rPr>
        <w:t xml:space="preserve"> (4)</w:t>
      </w:r>
      <w:r w:rsidRPr="000433BC">
        <w:rPr>
          <w:rFonts w:ascii="Times New Roman" w:hAnsi="Times New Roman" w:cs="Times New Roman"/>
          <w:color w:val="222222"/>
          <w:sz w:val="24"/>
          <w:szCs w:val="24"/>
          <w:shd w:val="clear" w:color="auto" w:fill="FFFFFF"/>
          <w:lang w:val="es-CO"/>
        </w:rPr>
        <w:t xml:space="preserve">. Se postula que puede ser difícil ver cómo las pruebas de seguridad a mediano y largo plazo para la vacuna propuesta (o cualquier vacuna o fármaco) se pueden realizar de manera </w:t>
      </w:r>
      <w:r w:rsidR="008D5504" w:rsidRPr="000433BC">
        <w:rPr>
          <w:rFonts w:ascii="Times New Roman" w:hAnsi="Times New Roman" w:cs="Times New Roman"/>
          <w:color w:val="222222"/>
          <w:sz w:val="24"/>
          <w:szCs w:val="24"/>
          <w:shd w:val="clear" w:color="auto" w:fill="FFFFFF"/>
          <w:lang w:val="es-CO"/>
        </w:rPr>
        <w:t>verisímil</w:t>
      </w:r>
      <w:r w:rsidRPr="000433BC">
        <w:rPr>
          <w:rFonts w:ascii="Times New Roman" w:hAnsi="Times New Roman" w:cs="Times New Roman"/>
          <w:color w:val="222222"/>
          <w:sz w:val="24"/>
          <w:szCs w:val="24"/>
          <w:shd w:val="clear" w:color="auto" w:fill="FFFFFF"/>
          <w:lang w:val="es-CO"/>
        </w:rPr>
        <w:t xml:space="preserve"> en un período de tiempo tan corto</w:t>
      </w:r>
      <w:r w:rsidR="00E70908">
        <w:rPr>
          <w:rFonts w:ascii="Times New Roman" w:hAnsi="Times New Roman" w:cs="Times New Roman"/>
          <w:color w:val="222222"/>
          <w:sz w:val="24"/>
          <w:szCs w:val="24"/>
          <w:shd w:val="clear" w:color="auto" w:fill="FFFFFF"/>
          <w:lang w:val="es-CO"/>
        </w:rPr>
        <w:t xml:space="preserve"> (</w:t>
      </w:r>
      <w:r w:rsidR="00E056CC">
        <w:rPr>
          <w:rFonts w:ascii="Times New Roman" w:hAnsi="Times New Roman" w:cs="Times New Roman"/>
          <w:color w:val="222222"/>
          <w:sz w:val="24"/>
          <w:szCs w:val="24"/>
          <w:shd w:val="clear" w:color="auto" w:fill="FFFFFF"/>
          <w:lang w:val="es-CO"/>
        </w:rPr>
        <w:t>8</w:t>
      </w:r>
      <w:r w:rsidR="00E70908">
        <w:rPr>
          <w:rFonts w:ascii="Times New Roman" w:hAnsi="Times New Roman" w:cs="Times New Roman"/>
          <w:color w:val="222222"/>
          <w:sz w:val="24"/>
          <w:szCs w:val="24"/>
          <w:shd w:val="clear" w:color="auto" w:fill="FFFFFF"/>
          <w:lang w:val="es-CO"/>
        </w:rPr>
        <w:t>)</w:t>
      </w:r>
      <w:r w:rsidRPr="000433BC">
        <w:rPr>
          <w:rFonts w:ascii="Times New Roman" w:hAnsi="Times New Roman" w:cs="Times New Roman"/>
          <w:color w:val="222222"/>
          <w:sz w:val="24"/>
          <w:szCs w:val="24"/>
          <w:shd w:val="clear" w:color="auto" w:fill="FFFFFF"/>
          <w:lang w:val="es-CO"/>
        </w:rPr>
        <w:t xml:space="preserve">. Las vacunas actúan estimulando el sistema inmunológico del cuerpo para que </w:t>
      </w:r>
      <w:r w:rsidR="008D5504" w:rsidRPr="000433BC">
        <w:rPr>
          <w:rFonts w:ascii="Times New Roman" w:hAnsi="Times New Roman" w:cs="Times New Roman"/>
          <w:color w:val="222222"/>
          <w:sz w:val="24"/>
          <w:szCs w:val="24"/>
          <w:shd w:val="clear" w:color="auto" w:fill="FFFFFF"/>
          <w:lang w:val="es-CO"/>
        </w:rPr>
        <w:t>registre</w:t>
      </w:r>
      <w:r w:rsidRPr="000433BC">
        <w:rPr>
          <w:rFonts w:ascii="Times New Roman" w:hAnsi="Times New Roman" w:cs="Times New Roman"/>
          <w:color w:val="222222"/>
          <w:sz w:val="24"/>
          <w:szCs w:val="24"/>
          <w:shd w:val="clear" w:color="auto" w:fill="FFFFFF"/>
          <w:lang w:val="es-CO"/>
        </w:rPr>
        <w:t xml:space="preserve"> y combata los virus y bacterias a los que se dirigen. Después de la vacunación, si el cuerpo se expone posteriormente a esos gérmenes, está listo para </w:t>
      </w:r>
      <w:r w:rsidR="008D5504">
        <w:rPr>
          <w:rFonts w:ascii="Times New Roman" w:hAnsi="Times New Roman" w:cs="Times New Roman"/>
          <w:color w:val="222222"/>
          <w:sz w:val="24"/>
          <w:szCs w:val="24"/>
          <w:shd w:val="clear" w:color="auto" w:fill="FFFFFF"/>
          <w:lang w:val="es-CO"/>
        </w:rPr>
        <w:t>deshacerlos</w:t>
      </w:r>
      <w:r w:rsidRPr="000433BC">
        <w:rPr>
          <w:rFonts w:ascii="Times New Roman" w:hAnsi="Times New Roman" w:cs="Times New Roman"/>
          <w:color w:val="222222"/>
          <w:sz w:val="24"/>
          <w:szCs w:val="24"/>
          <w:shd w:val="clear" w:color="auto" w:fill="FFFFFF"/>
          <w:lang w:val="es-CO"/>
        </w:rPr>
        <w:t xml:space="preserve"> rápidamente, previniendo enfermedades</w:t>
      </w:r>
      <w:r w:rsidR="00E70908">
        <w:rPr>
          <w:rFonts w:ascii="Times New Roman" w:hAnsi="Times New Roman" w:cs="Times New Roman"/>
          <w:color w:val="222222"/>
          <w:sz w:val="24"/>
          <w:szCs w:val="24"/>
          <w:shd w:val="clear" w:color="auto" w:fill="FFFFFF"/>
          <w:lang w:val="es-CO"/>
        </w:rPr>
        <w:t xml:space="preserve"> (</w:t>
      </w:r>
      <w:r w:rsidR="00E056CC">
        <w:rPr>
          <w:rFonts w:ascii="Times New Roman" w:hAnsi="Times New Roman" w:cs="Times New Roman"/>
          <w:color w:val="222222"/>
          <w:sz w:val="24"/>
          <w:szCs w:val="24"/>
          <w:shd w:val="clear" w:color="auto" w:fill="FFFFFF"/>
          <w:lang w:val="es-CO"/>
        </w:rPr>
        <w:t>9</w:t>
      </w:r>
      <w:r w:rsidR="00E70908">
        <w:rPr>
          <w:rFonts w:ascii="Times New Roman" w:hAnsi="Times New Roman" w:cs="Times New Roman"/>
          <w:color w:val="222222"/>
          <w:sz w:val="24"/>
          <w:szCs w:val="24"/>
          <w:shd w:val="clear" w:color="auto" w:fill="FFFFFF"/>
          <w:lang w:val="es-CO"/>
        </w:rPr>
        <w:t>)</w:t>
      </w:r>
      <w:r w:rsidRPr="000433BC">
        <w:rPr>
          <w:rFonts w:ascii="Times New Roman" w:hAnsi="Times New Roman" w:cs="Times New Roman"/>
          <w:color w:val="222222"/>
          <w:sz w:val="24"/>
          <w:szCs w:val="24"/>
          <w:shd w:val="clear" w:color="auto" w:fill="FFFFFF"/>
          <w:lang w:val="es-CO"/>
        </w:rPr>
        <w:t>.</w:t>
      </w:r>
    </w:p>
    <w:p w14:paraId="12CD842C" w14:textId="44F403B1" w:rsidR="00916721" w:rsidRPr="003C2C3C" w:rsidRDefault="00916721" w:rsidP="00916721">
      <w:pPr>
        <w:spacing w:line="360" w:lineRule="auto"/>
        <w:jc w:val="both"/>
        <w:rPr>
          <w:rFonts w:ascii="Times New Roman" w:hAnsi="Times New Roman" w:cs="Times New Roman"/>
          <w:sz w:val="24"/>
          <w:szCs w:val="24"/>
          <w:vertAlign w:val="superscript"/>
          <w:lang w:val="es-CO"/>
        </w:rPr>
      </w:pPr>
      <w:r w:rsidRPr="006B1717">
        <w:rPr>
          <w:rStyle w:val="A6"/>
          <w:rFonts w:ascii="Times New Roman" w:hAnsi="Times New Roman" w:cs="Times New Roman"/>
          <w:sz w:val="24"/>
          <w:szCs w:val="24"/>
          <w:lang w:val="es-CO"/>
        </w:rPr>
        <w:t>Algún problema que nazca con esta vacuna produciría una ma</w:t>
      </w:r>
      <w:r w:rsidRPr="006B1717">
        <w:rPr>
          <w:rStyle w:val="A6"/>
          <w:rFonts w:ascii="Times New Roman" w:hAnsi="Times New Roman" w:cs="Times New Roman"/>
          <w:sz w:val="24"/>
          <w:szCs w:val="24"/>
          <w:lang w:val="es-CO"/>
        </w:rPr>
        <w:softHyphen/>
        <w:t>yor impaciencia y hay que recordar que no existe un sustituto mejor para certificar la seguridad de una vacuna que los ensa</w:t>
      </w:r>
      <w:r w:rsidRPr="006B1717">
        <w:rPr>
          <w:rStyle w:val="A6"/>
          <w:rFonts w:ascii="Times New Roman" w:hAnsi="Times New Roman" w:cs="Times New Roman"/>
          <w:sz w:val="24"/>
          <w:szCs w:val="24"/>
          <w:lang w:val="es-CO"/>
        </w:rPr>
        <w:softHyphen/>
        <w:t>yos clínicos bien trazados, doble ciego, prospectivos y alea</w:t>
      </w:r>
      <w:r w:rsidRPr="006B1717">
        <w:rPr>
          <w:rStyle w:val="A6"/>
          <w:rFonts w:ascii="Times New Roman" w:hAnsi="Times New Roman" w:cs="Times New Roman"/>
          <w:sz w:val="24"/>
          <w:szCs w:val="24"/>
          <w:lang w:val="es-CO"/>
        </w:rPr>
        <w:softHyphen/>
        <w:t>torizados</w:t>
      </w:r>
      <w:r>
        <w:rPr>
          <w:rStyle w:val="A6"/>
          <w:rFonts w:ascii="Times New Roman" w:hAnsi="Times New Roman" w:cs="Times New Roman"/>
          <w:sz w:val="24"/>
          <w:szCs w:val="24"/>
          <w:lang w:val="es-CO"/>
        </w:rPr>
        <w:t xml:space="preserve"> </w:t>
      </w:r>
      <w:r w:rsidRPr="00E056CC">
        <w:rPr>
          <w:rStyle w:val="A6"/>
          <w:rFonts w:ascii="Times New Roman" w:hAnsi="Times New Roman" w:cs="Times New Roman"/>
          <w:sz w:val="24"/>
          <w:szCs w:val="24"/>
          <w:lang w:val="es-CO"/>
        </w:rPr>
        <w:t>(</w:t>
      </w:r>
      <w:r w:rsidR="00E056CC" w:rsidRPr="00E056CC">
        <w:rPr>
          <w:rStyle w:val="A6"/>
          <w:rFonts w:ascii="Times New Roman" w:hAnsi="Times New Roman" w:cs="Times New Roman"/>
          <w:sz w:val="24"/>
          <w:szCs w:val="24"/>
          <w:lang w:val="es-CO"/>
        </w:rPr>
        <w:t>9</w:t>
      </w:r>
      <w:r w:rsidRPr="00E056CC">
        <w:rPr>
          <w:rStyle w:val="A6"/>
          <w:rFonts w:ascii="Times New Roman" w:hAnsi="Times New Roman" w:cs="Times New Roman"/>
          <w:sz w:val="24"/>
          <w:szCs w:val="24"/>
          <w:lang w:val="es-CO"/>
        </w:rPr>
        <w:t>).</w:t>
      </w:r>
      <w:r w:rsidRPr="006B1717">
        <w:rPr>
          <w:rStyle w:val="A6"/>
          <w:rFonts w:ascii="Times New Roman" w:hAnsi="Times New Roman" w:cs="Times New Roman"/>
          <w:sz w:val="24"/>
          <w:szCs w:val="24"/>
          <w:lang w:val="es-CO"/>
        </w:rPr>
        <w:t xml:space="preserve"> Dada la gravedad de la pandemia, la autorización pronta de alguna vacuna es contemplada con preocupación por las autoridades sanitarias de todo el mundo</w:t>
      </w:r>
      <w:r>
        <w:rPr>
          <w:rStyle w:val="A6"/>
          <w:rFonts w:ascii="Times New Roman" w:hAnsi="Times New Roman" w:cs="Times New Roman"/>
          <w:sz w:val="24"/>
          <w:szCs w:val="24"/>
          <w:lang w:val="es-CO"/>
        </w:rPr>
        <w:t xml:space="preserve"> </w:t>
      </w:r>
      <w:r w:rsidRPr="00C43F98">
        <w:rPr>
          <w:rStyle w:val="A6"/>
          <w:rFonts w:ascii="Times New Roman" w:hAnsi="Times New Roman" w:cs="Times New Roman"/>
          <w:sz w:val="24"/>
          <w:szCs w:val="24"/>
          <w:lang w:val="es-CO"/>
        </w:rPr>
        <w:t>(</w:t>
      </w:r>
      <w:r w:rsidR="00C43F98" w:rsidRPr="00C43F98">
        <w:rPr>
          <w:rStyle w:val="A6"/>
          <w:rFonts w:ascii="Times New Roman" w:hAnsi="Times New Roman" w:cs="Times New Roman"/>
          <w:sz w:val="24"/>
          <w:szCs w:val="24"/>
          <w:lang w:val="es-CO"/>
        </w:rPr>
        <w:t>10</w:t>
      </w:r>
      <w:r w:rsidRPr="00C43F98">
        <w:rPr>
          <w:rStyle w:val="A6"/>
          <w:rFonts w:ascii="Times New Roman" w:hAnsi="Times New Roman" w:cs="Times New Roman"/>
          <w:sz w:val="24"/>
          <w:szCs w:val="24"/>
          <w:lang w:val="es-CO"/>
        </w:rPr>
        <w:t>,</w:t>
      </w:r>
      <w:r w:rsidR="00C43F98" w:rsidRPr="00C43F98">
        <w:rPr>
          <w:rStyle w:val="A6"/>
          <w:rFonts w:ascii="Times New Roman" w:hAnsi="Times New Roman" w:cs="Times New Roman"/>
          <w:sz w:val="24"/>
          <w:szCs w:val="24"/>
          <w:lang w:val="es-CO"/>
        </w:rPr>
        <w:t>11</w:t>
      </w:r>
      <w:r w:rsidRPr="00C43F98">
        <w:rPr>
          <w:rStyle w:val="A6"/>
          <w:rFonts w:ascii="Times New Roman" w:hAnsi="Times New Roman" w:cs="Times New Roman"/>
          <w:sz w:val="24"/>
          <w:szCs w:val="24"/>
          <w:lang w:val="es-CO"/>
        </w:rPr>
        <w:t>,</w:t>
      </w:r>
      <w:r w:rsidR="00C43F98" w:rsidRPr="00C43F98">
        <w:rPr>
          <w:rStyle w:val="A6"/>
          <w:rFonts w:ascii="Times New Roman" w:hAnsi="Times New Roman" w:cs="Times New Roman"/>
          <w:sz w:val="24"/>
          <w:szCs w:val="24"/>
          <w:lang w:val="es-CO"/>
        </w:rPr>
        <w:t>12</w:t>
      </w:r>
      <w:r w:rsidRPr="00C43F98">
        <w:rPr>
          <w:rStyle w:val="A6"/>
          <w:rFonts w:ascii="Times New Roman" w:hAnsi="Times New Roman" w:cs="Times New Roman"/>
          <w:sz w:val="24"/>
          <w:szCs w:val="24"/>
          <w:lang w:val="es-CO"/>
        </w:rPr>
        <w:t>,1</w:t>
      </w:r>
      <w:r w:rsidR="00C43F98" w:rsidRPr="00C43F98">
        <w:rPr>
          <w:rStyle w:val="A6"/>
          <w:rFonts w:ascii="Times New Roman" w:hAnsi="Times New Roman" w:cs="Times New Roman"/>
          <w:sz w:val="24"/>
          <w:szCs w:val="24"/>
          <w:lang w:val="es-CO"/>
        </w:rPr>
        <w:t>3</w:t>
      </w:r>
      <w:r w:rsidRPr="00C43F98">
        <w:rPr>
          <w:rStyle w:val="A6"/>
          <w:rFonts w:ascii="Times New Roman" w:hAnsi="Times New Roman" w:cs="Times New Roman"/>
          <w:sz w:val="24"/>
          <w:szCs w:val="24"/>
          <w:lang w:val="es-CO"/>
        </w:rPr>
        <w:t>,1</w:t>
      </w:r>
      <w:r w:rsidR="00C43F98" w:rsidRPr="00C43F98">
        <w:rPr>
          <w:rStyle w:val="A6"/>
          <w:rFonts w:ascii="Times New Roman" w:hAnsi="Times New Roman" w:cs="Times New Roman"/>
          <w:sz w:val="24"/>
          <w:szCs w:val="24"/>
          <w:lang w:val="es-CO"/>
        </w:rPr>
        <w:t>4</w:t>
      </w:r>
      <w:r w:rsidRPr="00C43F98">
        <w:rPr>
          <w:rStyle w:val="A6"/>
          <w:rFonts w:ascii="Times New Roman" w:hAnsi="Times New Roman" w:cs="Times New Roman"/>
          <w:sz w:val="24"/>
          <w:szCs w:val="24"/>
          <w:lang w:val="es-CO"/>
        </w:rPr>
        <w:t>).</w:t>
      </w:r>
    </w:p>
    <w:p w14:paraId="7EAA1F77" w14:textId="71CEDB1A" w:rsidR="008619B2" w:rsidRDefault="008619B2" w:rsidP="00E1496D">
      <w:pPr>
        <w:pStyle w:val="Textoindependiente"/>
        <w:spacing w:line="360" w:lineRule="auto"/>
        <w:jc w:val="both"/>
        <w:rPr>
          <w:rFonts w:ascii="Times New Roman" w:hAnsi="Times New Roman" w:cs="Times New Roman"/>
          <w:color w:val="222222"/>
          <w:sz w:val="24"/>
          <w:szCs w:val="24"/>
          <w:shd w:val="clear" w:color="auto" w:fill="FFFFFF"/>
        </w:rPr>
      </w:pPr>
      <w:r w:rsidRPr="00606133">
        <w:rPr>
          <w:rFonts w:ascii="Times New Roman" w:hAnsi="Times New Roman" w:cs="Times New Roman"/>
          <w:sz w:val="24"/>
          <w:szCs w:val="24"/>
          <w:shd w:val="clear" w:color="auto" w:fill="FFFFFF"/>
        </w:rPr>
        <w:t xml:space="preserve">A partir del 18 febrero de 2021. Se </w:t>
      </w:r>
      <w:r w:rsidR="008D5504">
        <w:rPr>
          <w:rFonts w:ascii="Times New Roman" w:hAnsi="Times New Roman" w:cs="Times New Roman"/>
          <w:sz w:val="24"/>
          <w:szCs w:val="24"/>
          <w:shd w:val="clear" w:color="auto" w:fill="FFFFFF"/>
        </w:rPr>
        <w:t>incluyeron</w:t>
      </w:r>
      <w:r w:rsidRPr="00606133">
        <w:rPr>
          <w:rFonts w:ascii="Times New Roman" w:hAnsi="Times New Roman" w:cs="Times New Roman"/>
          <w:sz w:val="24"/>
          <w:szCs w:val="24"/>
          <w:shd w:val="clear" w:color="auto" w:fill="FFFFFF"/>
        </w:rPr>
        <w:t xml:space="preserve">, al menos, siete vacunas diferentes. Se dio prioridad a las poblaciones vulnerables de todos los países para la vacunación. Se informó que las vacunas son una herramienta </w:t>
      </w:r>
      <w:r w:rsidR="008D5504">
        <w:rPr>
          <w:rFonts w:ascii="Times New Roman" w:hAnsi="Times New Roman" w:cs="Times New Roman"/>
          <w:sz w:val="24"/>
          <w:szCs w:val="24"/>
          <w:shd w:val="clear" w:color="auto" w:fill="FFFFFF"/>
        </w:rPr>
        <w:t>primordial</w:t>
      </w:r>
      <w:r w:rsidRPr="00606133">
        <w:rPr>
          <w:rFonts w:ascii="Times New Roman" w:hAnsi="Times New Roman" w:cs="Times New Roman"/>
          <w:sz w:val="24"/>
          <w:szCs w:val="24"/>
          <w:shd w:val="clear" w:color="auto" w:fill="FFFFFF"/>
        </w:rPr>
        <w:t xml:space="preserve"> para combatir el COVID-19, y es muy </w:t>
      </w:r>
      <w:r w:rsidR="008D5504" w:rsidRPr="00606133">
        <w:rPr>
          <w:rFonts w:ascii="Times New Roman" w:hAnsi="Times New Roman" w:cs="Times New Roman"/>
          <w:sz w:val="24"/>
          <w:szCs w:val="24"/>
          <w:shd w:val="clear" w:color="auto" w:fill="FFFFFF"/>
        </w:rPr>
        <w:t>confortador</w:t>
      </w:r>
      <w:r w:rsidRPr="00606133">
        <w:rPr>
          <w:rFonts w:ascii="Times New Roman" w:hAnsi="Times New Roman" w:cs="Times New Roman"/>
          <w:sz w:val="24"/>
          <w:szCs w:val="24"/>
          <w:shd w:val="clear" w:color="auto" w:fill="FFFFFF"/>
        </w:rPr>
        <w:t xml:space="preserve"> ver que tantas vacunas tienen éxito y se están desarrollando</w:t>
      </w:r>
      <w:r w:rsidR="00E70908">
        <w:rPr>
          <w:rFonts w:ascii="Times New Roman" w:hAnsi="Times New Roman" w:cs="Times New Roman"/>
          <w:sz w:val="24"/>
          <w:szCs w:val="24"/>
          <w:shd w:val="clear" w:color="auto" w:fill="FFFFFF"/>
        </w:rPr>
        <w:t xml:space="preserve"> (</w:t>
      </w:r>
      <w:r w:rsidR="000B7B72">
        <w:rPr>
          <w:rFonts w:ascii="Times New Roman" w:hAnsi="Times New Roman" w:cs="Times New Roman"/>
          <w:sz w:val="24"/>
          <w:szCs w:val="24"/>
          <w:shd w:val="clear" w:color="auto" w:fill="FFFFFF"/>
        </w:rPr>
        <w:t>15</w:t>
      </w:r>
      <w:r w:rsidR="0005170D">
        <w:rPr>
          <w:rFonts w:ascii="Times New Roman" w:hAnsi="Times New Roman" w:cs="Times New Roman"/>
          <w:sz w:val="24"/>
          <w:szCs w:val="24"/>
          <w:shd w:val="clear" w:color="auto" w:fill="FFFFFF"/>
        </w:rPr>
        <w:t>),</w:t>
      </w:r>
      <w:r w:rsidR="0005170D" w:rsidRPr="00606133">
        <w:rPr>
          <w:rFonts w:ascii="Times New Roman" w:hAnsi="Times New Roman" w:cs="Times New Roman"/>
          <w:color w:val="222222"/>
          <w:sz w:val="24"/>
          <w:szCs w:val="24"/>
          <w:shd w:val="clear" w:color="auto" w:fill="FFFFFF"/>
        </w:rPr>
        <w:t xml:space="preserve"> los</w:t>
      </w:r>
      <w:r w:rsidRPr="00606133">
        <w:rPr>
          <w:rFonts w:ascii="Times New Roman" w:hAnsi="Times New Roman" w:cs="Times New Roman"/>
          <w:color w:val="222222"/>
          <w:sz w:val="24"/>
          <w:szCs w:val="24"/>
          <w:shd w:val="clear" w:color="auto" w:fill="FFFFFF"/>
        </w:rPr>
        <w:t xml:space="preserve"> riesgos de efectos adversos posteriores a la vacunación difirieron entre los estudios y se justifican más estudios longitudinales</w:t>
      </w:r>
      <w:r w:rsidR="0005170D">
        <w:rPr>
          <w:rFonts w:ascii="Times New Roman" w:hAnsi="Times New Roman" w:cs="Times New Roman"/>
          <w:color w:val="222222"/>
          <w:sz w:val="24"/>
          <w:szCs w:val="24"/>
          <w:shd w:val="clear" w:color="auto" w:fill="FFFFFF"/>
        </w:rPr>
        <w:t xml:space="preserve"> (</w:t>
      </w:r>
      <w:r w:rsidR="000B7B72">
        <w:rPr>
          <w:rFonts w:ascii="Times New Roman" w:hAnsi="Times New Roman" w:cs="Times New Roman"/>
          <w:color w:val="222222"/>
          <w:sz w:val="24"/>
          <w:szCs w:val="24"/>
          <w:shd w:val="clear" w:color="auto" w:fill="FFFFFF"/>
        </w:rPr>
        <w:t>16</w:t>
      </w:r>
      <w:r w:rsidR="0005170D">
        <w:rPr>
          <w:rFonts w:ascii="Times New Roman" w:hAnsi="Times New Roman" w:cs="Times New Roman"/>
          <w:color w:val="222222"/>
          <w:sz w:val="24"/>
          <w:szCs w:val="24"/>
          <w:shd w:val="clear" w:color="auto" w:fill="FFFFFF"/>
        </w:rPr>
        <w:t>)</w:t>
      </w:r>
      <w:r w:rsidRPr="00606133">
        <w:rPr>
          <w:rFonts w:ascii="Times New Roman" w:hAnsi="Times New Roman" w:cs="Times New Roman"/>
          <w:color w:val="222222"/>
          <w:sz w:val="24"/>
          <w:szCs w:val="24"/>
          <w:shd w:val="clear" w:color="auto" w:fill="FFFFFF"/>
        </w:rPr>
        <w:t>.</w:t>
      </w:r>
    </w:p>
    <w:p w14:paraId="2BFA6DCC" w14:textId="6DB7C795" w:rsidR="00606133" w:rsidRPr="00606133" w:rsidRDefault="00606133" w:rsidP="00E1496D">
      <w:pPr>
        <w:pStyle w:val="Textoindependiente"/>
        <w:spacing w:line="360" w:lineRule="auto"/>
        <w:jc w:val="both"/>
        <w:rPr>
          <w:rFonts w:ascii="Times New Roman" w:hAnsi="Times New Roman" w:cs="Times New Roman"/>
          <w:sz w:val="24"/>
          <w:szCs w:val="24"/>
          <w:shd w:val="clear" w:color="auto" w:fill="FFFFFF"/>
          <w:vertAlign w:val="superscript"/>
        </w:rPr>
      </w:pPr>
      <w:r w:rsidRPr="00606133">
        <w:rPr>
          <w:rFonts w:ascii="Times New Roman" w:hAnsi="Times New Roman" w:cs="Times New Roman"/>
          <w:sz w:val="24"/>
          <w:szCs w:val="24"/>
          <w:shd w:val="clear" w:color="auto" w:fill="FFFFFF"/>
        </w:rPr>
        <w:t xml:space="preserve">Otros efectos adversos incluyen fatiga, dolor de cabeza, dolores musculares, escalofríos, dolor en las articulaciones y posiblemente algo de fiebre. Los efectos adversos fueron más frecuentes después de la segunda dosis en los ensayos de </w:t>
      </w:r>
      <w:r w:rsidR="0005170D" w:rsidRPr="00606133">
        <w:rPr>
          <w:rFonts w:ascii="Times New Roman" w:hAnsi="Times New Roman" w:cs="Times New Roman"/>
          <w:sz w:val="24"/>
          <w:szCs w:val="24"/>
          <w:shd w:val="clear" w:color="auto" w:fill="FFFFFF"/>
        </w:rPr>
        <w:t>vacunas</w:t>
      </w:r>
      <w:r w:rsidR="0005170D">
        <w:rPr>
          <w:rFonts w:ascii="Times New Roman" w:hAnsi="Times New Roman" w:cs="Times New Roman"/>
          <w:sz w:val="24"/>
          <w:szCs w:val="24"/>
          <w:shd w:val="clear" w:color="auto" w:fill="FFFFFF"/>
        </w:rPr>
        <w:t xml:space="preserve"> (</w:t>
      </w:r>
      <w:r w:rsidR="000B7B72">
        <w:rPr>
          <w:rFonts w:ascii="Times New Roman" w:hAnsi="Times New Roman" w:cs="Times New Roman"/>
          <w:sz w:val="24"/>
          <w:szCs w:val="24"/>
          <w:shd w:val="clear" w:color="auto" w:fill="FFFFFF"/>
        </w:rPr>
        <w:t>17</w:t>
      </w:r>
      <w:r w:rsidR="0005170D">
        <w:rPr>
          <w:rFonts w:ascii="Times New Roman" w:hAnsi="Times New Roman" w:cs="Times New Roman"/>
          <w:sz w:val="24"/>
          <w:szCs w:val="24"/>
          <w:shd w:val="clear" w:color="auto" w:fill="FFFFFF"/>
        </w:rPr>
        <w:t>,1</w:t>
      </w:r>
      <w:r w:rsidR="000B7B72">
        <w:rPr>
          <w:rFonts w:ascii="Times New Roman" w:hAnsi="Times New Roman" w:cs="Times New Roman"/>
          <w:sz w:val="24"/>
          <w:szCs w:val="24"/>
          <w:shd w:val="clear" w:color="auto" w:fill="FFFFFF"/>
        </w:rPr>
        <w:t>8</w:t>
      </w:r>
      <w:r w:rsidR="0005170D">
        <w:rPr>
          <w:rFonts w:ascii="Times New Roman" w:hAnsi="Times New Roman" w:cs="Times New Roman"/>
          <w:sz w:val="24"/>
          <w:szCs w:val="24"/>
          <w:shd w:val="clear" w:color="auto" w:fill="FFFFFF"/>
        </w:rPr>
        <w:t>).</w:t>
      </w:r>
    </w:p>
    <w:p w14:paraId="7CC65FDF" w14:textId="29E1206C" w:rsidR="00606133" w:rsidRPr="007B1205" w:rsidRDefault="007B1205" w:rsidP="00E1496D">
      <w:pPr>
        <w:pStyle w:val="Textoindependiente"/>
        <w:spacing w:line="360" w:lineRule="auto"/>
        <w:jc w:val="both"/>
        <w:rPr>
          <w:rFonts w:ascii="Times New Roman" w:hAnsi="Times New Roman" w:cs="Times New Roman"/>
          <w:sz w:val="24"/>
          <w:szCs w:val="24"/>
          <w:shd w:val="clear" w:color="auto" w:fill="FFFFFF"/>
        </w:rPr>
      </w:pPr>
      <w:r w:rsidRPr="007B1205">
        <w:rPr>
          <w:rFonts w:ascii="Times New Roman" w:hAnsi="Times New Roman" w:cs="Times New Roman"/>
          <w:sz w:val="24"/>
          <w:szCs w:val="24"/>
          <w:shd w:val="clear" w:color="auto" w:fill="FFFFFF"/>
        </w:rPr>
        <w:t xml:space="preserve">Durante las campañas de vacunación masiva, es </w:t>
      </w:r>
      <w:r w:rsidR="00F10D28" w:rsidRPr="007B1205">
        <w:rPr>
          <w:rFonts w:ascii="Times New Roman" w:hAnsi="Times New Roman" w:cs="Times New Roman"/>
          <w:sz w:val="24"/>
          <w:szCs w:val="24"/>
          <w:shd w:val="clear" w:color="auto" w:fill="FFFFFF"/>
        </w:rPr>
        <w:t>factible</w:t>
      </w:r>
      <w:r w:rsidRPr="007B1205">
        <w:rPr>
          <w:rFonts w:ascii="Times New Roman" w:hAnsi="Times New Roman" w:cs="Times New Roman"/>
          <w:sz w:val="24"/>
          <w:szCs w:val="24"/>
          <w:shd w:val="clear" w:color="auto" w:fill="FFFFFF"/>
        </w:rPr>
        <w:t xml:space="preserve"> que los eventos adversos generen inquietudes en la comunidad, lo que puede </w:t>
      </w:r>
      <w:r w:rsidR="00F10D28" w:rsidRPr="007B1205">
        <w:rPr>
          <w:rFonts w:ascii="Times New Roman" w:hAnsi="Times New Roman" w:cs="Times New Roman"/>
          <w:sz w:val="24"/>
          <w:szCs w:val="24"/>
          <w:shd w:val="clear" w:color="auto" w:fill="FFFFFF"/>
        </w:rPr>
        <w:t>crear</w:t>
      </w:r>
      <w:r w:rsidRPr="007B1205">
        <w:rPr>
          <w:rFonts w:ascii="Times New Roman" w:hAnsi="Times New Roman" w:cs="Times New Roman"/>
          <w:sz w:val="24"/>
          <w:szCs w:val="24"/>
          <w:shd w:val="clear" w:color="auto" w:fill="FFFFFF"/>
        </w:rPr>
        <w:t xml:space="preserve"> dudas sobre la vacunación</w:t>
      </w:r>
      <w:r w:rsidR="0005170D">
        <w:rPr>
          <w:rFonts w:ascii="Times New Roman" w:hAnsi="Times New Roman" w:cs="Times New Roman"/>
          <w:sz w:val="24"/>
          <w:szCs w:val="24"/>
          <w:shd w:val="clear" w:color="auto" w:fill="FFFFFF"/>
        </w:rPr>
        <w:t xml:space="preserve"> (1</w:t>
      </w:r>
      <w:r w:rsidR="000B7B72">
        <w:rPr>
          <w:rFonts w:ascii="Times New Roman" w:hAnsi="Times New Roman" w:cs="Times New Roman"/>
          <w:sz w:val="24"/>
          <w:szCs w:val="24"/>
          <w:shd w:val="clear" w:color="auto" w:fill="FFFFFF"/>
        </w:rPr>
        <w:t>9</w:t>
      </w:r>
      <w:r w:rsidR="0005170D">
        <w:rPr>
          <w:rFonts w:ascii="Times New Roman" w:hAnsi="Times New Roman" w:cs="Times New Roman"/>
          <w:sz w:val="24"/>
          <w:szCs w:val="24"/>
          <w:shd w:val="clear" w:color="auto" w:fill="FFFFFF"/>
        </w:rPr>
        <w:t>)</w:t>
      </w:r>
      <w:r w:rsidRPr="007B1205">
        <w:rPr>
          <w:rFonts w:ascii="Times New Roman" w:hAnsi="Times New Roman" w:cs="Times New Roman"/>
          <w:sz w:val="24"/>
          <w:szCs w:val="24"/>
          <w:shd w:val="clear" w:color="auto" w:fill="FFFFFF"/>
        </w:rPr>
        <w:t>. En particular, la mejora de la vigilancia activa de los eventos adversos puede proporcionar evidencia científica para describir los eventos adversos notificados que son en su mayoría leves, autolimitados y tratados con analgésicos</w:t>
      </w:r>
      <w:r w:rsidR="0005170D">
        <w:rPr>
          <w:rFonts w:ascii="Times New Roman" w:hAnsi="Times New Roman" w:cs="Times New Roman"/>
          <w:sz w:val="24"/>
          <w:szCs w:val="24"/>
          <w:shd w:val="clear" w:color="auto" w:fill="FFFFFF"/>
        </w:rPr>
        <w:t xml:space="preserve"> (</w:t>
      </w:r>
      <w:r w:rsidR="00D53F3D">
        <w:rPr>
          <w:rFonts w:ascii="Times New Roman" w:hAnsi="Times New Roman" w:cs="Times New Roman"/>
          <w:sz w:val="24"/>
          <w:szCs w:val="24"/>
          <w:shd w:val="clear" w:color="auto" w:fill="FFFFFF"/>
        </w:rPr>
        <w:t>1</w:t>
      </w:r>
      <w:r w:rsidR="000B7B72">
        <w:rPr>
          <w:rFonts w:ascii="Times New Roman" w:hAnsi="Times New Roman" w:cs="Times New Roman"/>
          <w:sz w:val="24"/>
          <w:szCs w:val="24"/>
          <w:shd w:val="clear" w:color="auto" w:fill="FFFFFF"/>
        </w:rPr>
        <w:t>9</w:t>
      </w:r>
      <w:r w:rsidR="0005170D">
        <w:rPr>
          <w:rFonts w:ascii="Times New Roman" w:hAnsi="Times New Roman" w:cs="Times New Roman"/>
          <w:sz w:val="24"/>
          <w:szCs w:val="24"/>
          <w:shd w:val="clear" w:color="auto" w:fill="FFFFFF"/>
        </w:rPr>
        <w:t>)</w:t>
      </w:r>
      <w:r w:rsidRPr="007B1205">
        <w:rPr>
          <w:rFonts w:ascii="Times New Roman" w:hAnsi="Times New Roman" w:cs="Times New Roman"/>
          <w:sz w:val="24"/>
          <w:szCs w:val="24"/>
          <w:shd w:val="clear" w:color="auto" w:fill="FFFFFF"/>
        </w:rPr>
        <w:t>.</w:t>
      </w:r>
    </w:p>
    <w:p w14:paraId="58E07024" w14:textId="5382A2B6" w:rsidR="00E1496D" w:rsidRPr="00BC428F" w:rsidRDefault="00372D80" w:rsidP="00E1496D">
      <w:pPr>
        <w:pStyle w:val="Textoindependiente"/>
        <w:spacing w:line="360" w:lineRule="auto"/>
        <w:jc w:val="both"/>
        <w:rPr>
          <w:rFonts w:ascii="Times New Roman" w:hAnsi="Times New Roman" w:cs="Times New Roman"/>
          <w:sz w:val="24"/>
          <w:szCs w:val="24"/>
        </w:rPr>
      </w:pPr>
      <w:r>
        <w:rPr>
          <w:rFonts w:ascii="Times New Roman" w:hAnsi="Times New Roman" w:cs="Times New Roman"/>
          <w:sz w:val="24"/>
          <w:szCs w:val="24"/>
        </w:rPr>
        <w:t>Los objetivos</w:t>
      </w:r>
      <w:r w:rsidR="00E1496D" w:rsidRPr="00BC428F">
        <w:rPr>
          <w:rFonts w:ascii="Times New Roman" w:hAnsi="Times New Roman" w:cs="Times New Roman"/>
          <w:sz w:val="24"/>
          <w:szCs w:val="24"/>
        </w:rPr>
        <w:t xml:space="preserve"> de esta investigación </w:t>
      </w:r>
      <w:r w:rsidR="00704AE0">
        <w:rPr>
          <w:rFonts w:ascii="Times New Roman" w:hAnsi="Times New Roman" w:cs="Times New Roman"/>
          <w:sz w:val="24"/>
          <w:szCs w:val="24"/>
        </w:rPr>
        <w:t>son</w:t>
      </w:r>
      <w:r w:rsidR="00E1496D" w:rsidRPr="00BC428F">
        <w:rPr>
          <w:rFonts w:ascii="Times New Roman" w:hAnsi="Times New Roman" w:cs="Times New Roman"/>
          <w:sz w:val="24"/>
          <w:szCs w:val="24"/>
        </w:rPr>
        <w:t xml:space="preserve"> </w:t>
      </w:r>
      <w:r w:rsidR="00E1496D">
        <w:rPr>
          <w:rFonts w:ascii="Times New Roman" w:hAnsi="Times New Roman" w:cs="Times New Roman"/>
          <w:sz w:val="24"/>
          <w:szCs w:val="24"/>
        </w:rPr>
        <w:t>mostrar el avance de</w:t>
      </w:r>
      <w:r w:rsidR="00E1496D" w:rsidRPr="00BC428F">
        <w:rPr>
          <w:rFonts w:ascii="Times New Roman" w:hAnsi="Times New Roman" w:cs="Times New Roman"/>
          <w:sz w:val="24"/>
          <w:szCs w:val="24"/>
        </w:rPr>
        <w:t xml:space="preserve"> </w:t>
      </w:r>
      <w:r w:rsidR="005C5185">
        <w:rPr>
          <w:rFonts w:ascii="Times New Roman" w:hAnsi="Times New Roman" w:cs="Times New Roman"/>
          <w:sz w:val="24"/>
          <w:szCs w:val="24"/>
        </w:rPr>
        <w:t>primera</w:t>
      </w:r>
      <w:r w:rsidR="00A14B98">
        <w:rPr>
          <w:rFonts w:ascii="Times New Roman" w:hAnsi="Times New Roman" w:cs="Times New Roman"/>
          <w:sz w:val="24"/>
          <w:szCs w:val="24"/>
        </w:rPr>
        <w:t xml:space="preserve"> dosis,</w:t>
      </w:r>
      <w:r w:rsidR="005C5185">
        <w:rPr>
          <w:rFonts w:ascii="Times New Roman" w:hAnsi="Times New Roman" w:cs="Times New Roman"/>
          <w:sz w:val="24"/>
          <w:szCs w:val="24"/>
        </w:rPr>
        <w:t xml:space="preserve"> segunda </w:t>
      </w:r>
      <w:r w:rsidR="00550226">
        <w:rPr>
          <w:rFonts w:ascii="Times New Roman" w:hAnsi="Times New Roman" w:cs="Times New Roman"/>
          <w:sz w:val="24"/>
          <w:szCs w:val="24"/>
        </w:rPr>
        <w:t xml:space="preserve">dosis </w:t>
      </w:r>
      <w:r w:rsidR="005C5185">
        <w:rPr>
          <w:rFonts w:ascii="Times New Roman" w:hAnsi="Times New Roman" w:cs="Times New Roman"/>
          <w:sz w:val="24"/>
          <w:szCs w:val="24"/>
        </w:rPr>
        <w:t xml:space="preserve">y monodosis </w:t>
      </w:r>
      <w:r w:rsidR="00A14B98">
        <w:rPr>
          <w:rFonts w:ascii="Times New Roman" w:hAnsi="Times New Roman" w:cs="Times New Roman"/>
          <w:sz w:val="24"/>
          <w:szCs w:val="24"/>
        </w:rPr>
        <w:t>aplicadas</w:t>
      </w:r>
      <w:r w:rsidR="00550226">
        <w:rPr>
          <w:rFonts w:ascii="Times New Roman" w:hAnsi="Times New Roman" w:cs="Times New Roman"/>
          <w:sz w:val="24"/>
          <w:szCs w:val="24"/>
        </w:rPr>
        <w:t xml:space="preserve"> </w:t>
      </w:r>
      <w:r w:rsidR="00E1496D">
        <w:rPr>
          <w:rFonts w:ascii="Times New Roman" w:hAnsi="Times New Roman" w:cs="Times New Roman"/>
          <w:sz w:val="24"/>
          <w:szCs w:val="24"/>
        </w:rPr>
        <w:t>para la vacunación contra SARS-COV-2</w:t>
      </w:r>
      <w:r w:rsidR="00E1496D" w:rsidRPr="00B80D1D">
        <w:rPr>
          <w:rFonts w:ascii="Times New Roman" w:hAnsi="Times New Roman" w:cs="Times New Roman"/>
          <w:sz w:val="24"/>
          <w:szCs w:val="24"/>
        </w:rPr>
        <w:t xml:space="preserve"> en</w:t>
      </w:r>
      <w:r w:rsidR="00E1496D">
        <w:rPr>
          <w:rFonts w:ascii="Times New Roman" w:hAnsi="Times New Roman" w:cs="Times New Roman"/>
          <w:sz w:val="24"/>
          <w:szCs w:val="24"/>
        </w:rPr>
        <w:t xml:space="preserve"> las entidades territoriales de</w:t>
      </w:r>
      <w:r w:rsidR="00E1496D" w:rsidRPr="00B80D1D">
        <w:rPr>
          <w:rFonts w:ascii="Times New Roman" w:hAnsi="Times New Roman" w:cs="Times New Roman"/>
          <w:sz w:val="24"/>
          <w:szCs w:val="24"/>
        </w:rPr>
        <w:t xml:space="preserve"> Colombia</w:t>
      </w:r>
      <w:r w:rsidR="00E1496D">
        <w:rPr>
          <w:rFonts w:ascii="Times New Roman" w:hAnsi="Times New Roman" w:cs="Times New Roman"/>
          <w:sz w:val="24"/>
          <w:szCs w:val="24"/>
        </w:rPr>
        <w:t>,</w:t>
      </w:r>
      <w:r>
        <w:rPr>
          <w:rFonts w:ascii="Times New Roman" w:hAnsi="Times New Roman" w:cs="Times New Roman"/>
          <w:sz w:val="24"/>
          <w:szCs w:val="24"/>
        </w:rPr>
        <w:t xml:space="preserve"> </w:t>
      </w:r>
      <w:r w:rsidRPr="00287CD6">
        <w:rPr>
          <w:rFonts w:ascii="Times New Roman" w:hAnsi="Times New Roman" w:cs="Times New Roman"/>
          <w:sz w:val="24"/>
          <w:szCs w:val="24"/>
        </w:rPr>
        <w:t>presentar el avance</w:t>
      </w:r>
      <w:r w:rsidRPr="00287CD6">
        <w:rPr>
          <w:rFonts w:ascii="Times New Roman" w:eastAsia="Times New Roman" w:hAnsi="Times New Roman" w:cs="Times New Roman"/>
          <w:color w:val="000000"/>
          <w:sz w:val="24"/>
          <w:szCs w:val="24"/>
          <w:lang w:eastAsia="es-CO"/>
        </w:rPr>
        <w:t xml:space="preserve"> </w:t>
      </w:r>
      <w:r>
        <w:rPr>
          <w:rFonts w:ascii="Times New Roman" w:eastAsia="Times New Roman" w:hAnsi="Times New Roman" w:cs="Times New Roman"/>
          <w:color w:val="000000"/>
          <w:sz w:val="24"/>
          <w:szCs w:val="24"/>
          <w:lang w:eastAsia="es-CO"/>
        </w:rPr>
        <w:t>de e</w:t>
      </w:r>
      <w:r w:rsidRPr="00287CD6">
        <w:rPr>
          <w:rFonts w:ascii="Times New Roman" w:eastAsia="Times New Roman" w:hAnsi="Times New Roman" w:cs="Times New Roman"/>
          <w:color w:val="000000"/>
          <w:sz w:val="24"/>
          <w:szCs w:val="24"/>
          <w:lang w:eastAsia="es-CO"/>
        </w:rPr>
        <w:t>squemas completos aplicados por sexo contra COVID-19</w:t>
      </w:r>
      <w:r>
        <w:rPr>
          <w:rFonts w:ascii="Times New Roman" w:eastAsia="Times New Roman" w:hAnsi="Times New Roman" w:cs="Times New Roman"/>
          <w:color w:val="000000"/>
          <w:sz w:val="24"/>
          <w:szCs w:val="24"/>
          <w:lang w:eastAsia="es-CO"/>
        </w:rPr>
        <w:t xml:space="preserve">, y </w:t>
      </w:r>
      <w:r w:rsidR="0000150C">
        <w:rPr>
          <w:rFonts w:ascii="Times New Roman" w:hAnsi="Times New Roman" w:cs="Times New Roman"/>
          <w:sz w:val="24"/>
          <w:szCs w:val="24"/>
        </w:rPr>
        <w:t>publicar</w:t>
      </w:r>
      <w:r>
        <w:rPr>
          <w:rFonts w:ascii="Times New Roman" w:hAnsi="Times New Roman" w:cs="Times New Roman"/>
          <w:sz w:val="24"/>
          <w:szCs w:val="24"/>
        </w:rPr>
        <w:t xml:space="preserve"> el avance de</w:t>
      </w:r>
      <w:r w:rsidRPr="00BC428F">
        <w:rPr>
          <w:rFonts w:ascii="Times New Roman" w:hAnsi="Times New Roman" w:cs="Times New Roman"/>
          <w:sz w:val="24"/>
          <w:szCs w:val="24"/>
        </w:rPr>
        <w:t xml:space="preserve"> </w:t>
      </w:r>
      <w:r>
        <w:rPr>
          <w:rFonts w:ascii="Times New Roman" w:hAnsi="Times New Roman" w:cs="Times New Roman"/>
          <w:sz w:val="24"/>
          <w:szCs w:val="24"/>
        </w:rPr>
        <w:t>las dosis asignadas y aplicadas para la vacunación contra SARS-COV-2</w:t>
      </w:r>
      <w:r w:rsidRPr="00B80D1D">
        <w:rPr>
          <w:rFonts w:ascii="Times New Roman" w:hAnsi="Times New Roman" w:cs="Times New Roman"/>
          <w:sz w:val="24"/>
          <w:szCs w:val="24"/>
        </w:rPr>
        <w:t xml:space="preserve"> </w:t>
      </w:r>
      <w:r w:rsidRPr="00287CD6">
        <w:rPr>
          <w:rFonts w:ascii="Times New Roman" w:eastAsia="Times New Roman" w:hAnsi="Times New Roman" w:cs="Times New Roman"/>
          <w:color w:val="000000"/>
          <w:sz w:val="24"/>
          <w:szCs w:val="24"/>
          <w:lang w:eastAsia="es-CO"/>
        </w:rPr>
        <w:t>en las entidades territoriales de Colombia</w:t>
      </w:r>
      <w:r w:rsidR="00E1496D">
        <w:rPr>
          <w:rFonts w:ascii="Times New Roman" w:hAnsi="Times New Roman" w:cs="Times New Roman"/>
          <w:sz w:val="24"/>
          <w:szCs w:val="24"/>
        </w:rPr>
        <w:t xml:space="preserve"> </w:t>
      </w:r>
      <w:r w:rsidR="00E1496D" w:rsidRPr="00BC428F">
        <w:rPr>
          <w:rFonts w:ascii="Times New Roman" w:hAnsi="Times New Roman" w:cs="Times New Roman"/>
          <w:sz w:val="24"/>
          <w:szCs w:val="24"/>
        </w:rPr>
        <w:t>entre el periodo comprendido entre el 1</w:t>
      </w:r>
      <w:r w:rsidR="00E1496D">
        <w:rPr>
          <w:rFonts w:ascii="Times New Roman" w:hAnsi="Times New Roman" w:cs="Times New Roman"/>
          <w:sz w:val="24"/>
          <w:szCs w:val="24"/>
        </w:rPr>
        <w:t>7</w:t>
      </w:r>
      <w:r w:rsidR="00E1496D" w:rsidRPr="00BC428F">
        <w:rPr>
          <w:rFonts w:ascii="Times New Roman" w:hAnsi="Times New Roman" w:cs="Times New Roman"/>
          <w:sz w:val="24"/>
          <w:szCs w:val="24"/>
        </w:rPr>
        <w:t xml:space="preserve"> de </w:t>
      </w:r>
      <w:r w:rsidR="00E1496D">
        <w:rPr>
          <w:rFonts w:ascii="Times New Roman" w:hAnsi="Times New Roman" w:cs="Times New Roman"/>
          <w:sz w:val="24"/>
          <w:szCs w:val="24"/>
        </w:rPr>
        <w:t>febr</w:t>
      </w:r>
      <w:r w:rsidR="00E1496D" w:rsidRPr="00BC428F">
        <w:rPr>
          <w:rFonts w:ascii="Times New Roman" w:hAnsi="Times New Roman" w:cs="Times New Roman"/>
          <w:sz w:val="24"/>
          <w:szCs w:val="24"/>
        </w:rPr>
        <w:t xml:space="preserve">ero al </w:t>
      </w:r>
      <w:r w:rsidR="00361FFE">
        <w:rPr>
          <w:rFonts w:ascii="Times New Roman" w:hAnsi="Times New Roman" w:cs="Times New Roman"/>
          <w:sz w:val="24"/>
          <w:szCs w:val="24"/>
        </w:rPr>
        <w:t>5</w:t>
      </w:r>
      <w:r w:rsidR="00FA0650">
        <w:rPr>
          <w:rFonts w:ascii="Times New Roman" w:hAnsi="Times New Roman" w:cs="Times New Roman"/>
          <w:sz w:val="24"/>
          <w:szCs w:val="24"/>
        </w:rPr>
        <w:t xml:space="preserve"> </w:t>
      </w:r>
      <w:r w:rsidR="003A71E8">
        <w:rPr>
          <w:rFonts w:ascii="Times New Roman" w:hAnsi="Times New Roman" w:cs="Times New Roman"/>
          <w:sz w:val="24"/>
          <w:szCs w:val="24"/>
        </w:rPr>
        <w:t xml:space="preserve">de </w:t>
      </w:r>
      <w:r w:rsidR="00FA0650">
        <w:rPr>
          <w:rFonts w:ascii="Times New Roman" w:hAnsi="Times New Roman" w:cs="Times New Roman"/>
          <w:sz w:val="24"/>
          <w:szCs w:val="24"/>
        </w:rPr>
        <w:t>agosto</w:t>
      </w:r>
      <w:r w:rsidR="00E1496D" w:rsidRPr="00BC428F">
        <w:rPr>
          <w:rFonts w:ascii="Times New Roman" w:hAnsi="Times New Roman" w:cs="Times New Roman"/>
          <w:sz w:val="24"/>
          <w:szCs w:val="24"/>
        </w:rPr>
        <w:t xml:space="preserve"> de 2021.</w:t>
      </w:r>
    </w:p>
    <w:p w14:paraId="353B04DF" w14:textId="77777777" w:rsidR="00E1496D" w:rsidRDefault="00E1496D" w:rsidP="00E1496D">
      <w:pPr>
        <w:pStyle w:val="Ttulo2"/>
        <w:spacing w:line="360" w:lineRule="auto"/>
        <w:jc w:val="both"/>
        <w:rPr>
          <w:rFonts w:ascii="Times New Roman" w:hAnsi="Times New Roman" w:cs="Times New Roman"/>
          <w:b/>
          <w:bCs/>
          <w:color w:val="auto"/>
          <w:sz w:val="24"/>
          <w:szCs w:val="24"/>
        </w:rPr>
      </w:pPr>
      <w:r w:rsidRPr="00011922">
        <w:rPr>
          <w:rFonts w:ascii="Times New Roman" w:hAnsi="Times New Roman" w:cs="Times New Roman"/>
          <w:b/>
          <w:bCs/>
          <w:color w:val="auto"/>
          <w:sz w:val="24"/>
          <w:szCs w:val="24"/>
        </w:rPr>
        <w:t>Metodología</w:t>
      </w:r>
    </w:p>
    <w:p w14:paraId="3436B927" w14:textId="7DACFF30" w:rsidR="00E1496D" w:rsidRDefault="00E1496D" w:rsidP="00E1496D">
      <w:pPr>
        <w:rPr>
          <w:lang w:val="es-CO"/>
        </w:rPr>
      </w:pPr>
    </w:p>
    <w:p w14:paraId="1E6684D2" w14:textId="071D46A0" w:rsidR="00293F89" w:rsidRDefault="008619B2" w:rsidP="009D17A2">
      <w:pPr>
        <w:shd w:val="clear" w:color="auto" w:fill="FFFFFF"/>
        <w:spacing w:after="0" w:line="360" w:lineRule="auto"/>
        <w:jc w:val="both"/>
        <w:rPr>
          <w:rFonts w:ascii="Times New Roman" w:hAnsi="Times New Roman" w:cs="Times New Roman"/>
          <w:sz w:val="24"/>
          <w:szCs w:val="24"/>
          <w:lang w:val="es-CO"/>
        </w:rPr>
      </w:pPr>
      <w:r w:rsidRPr="00875048">
        <w:rPr>
          <w:rFonts w:ascii="Times New Roman" w:hAnsi="Times New Roman" w:cs="Times New Roman"/>
          <w:sz w:val="24"/>
          <w:szCs w:val="24"/>
          <w:shd w:val="clear" w:color="auto" w:fill="FFFFFF"/>
          <w:lang w:val="es-CO"/>
        </w:rPr>
        <w:t>Este fue un estudio</w:t>
      </w:r>
      <w:r w:rsidR="00875048" w:rsidRPr="00875048">
        <w:rPr>
          <w:rFonts w:ascii="Times New Roman" w:hAnsi="Times New Roman" w:cs="Times New Roman"/>
          <w:sz w:val="24"/>
          <w:szCs w:val="24"/>
          <w:shd w:val="clear" w:color="auto" w:fill="FFFFFF"/>
          <w:lang w:val="es-CO"/>
        </w:rPr>
        <w:t xml:space="preserve"> de tipo </w:t>
      </w:r>
      <w:r w:rsidRPr="00875048">
        <w:rPr>
          <w:rFonts w:ascii="Times New Roman" w:hAnsi="Times New Roman" w:cs="Times New Roman"/>
          <w:sz w:val="24"/>
          <w:szCs w:val="24"/>
          <w:shd w:val="clear" w:color="auto" w:fill="FFFFFF"/>
          <w:lang w:val="es-CO"/>
        </w:rPr>
        <w:t xml:space="preserve">transversal analítico diseñado específicamente para recoger información sobre vacunas administradas </w:t>
      </w:r>
      <w:r w:rsidR="009D17A2" w:rsidRPr="00875048">
        <w:rPr>
          <w:rFonts w:ascii="Times New Roman" w:hAnsi="Times New Roman" w:cs="Times New Roman"/>
          <w:sz w:val="24"/>
          <w:szCs w:val="24"/>
          <w:shd w:val="clear" w:color="auto" w:fill="FFFFFF"/>
          <w:lang w:val="es-CO"/>
        </w:rPr>
        <w:t>en Colombia. C</w:t>
      </w:r>
      <w:r w:rsidR="009D17A2" w:rsidRPr="00875048">
        <w:rPr>
          <w:rFonts w:ascii="Times New Roman" w:eastAsia="Times New Roman" w:hAnsi="Times New Roman" w:cs="Times New Roman"/>
          <w:sz w:val="24"/>
          <w:szCs w:val="24"/>
          <w:lang w:val="es-CO" w:eastAsia="es-CO"/>
        </w:rPr>
        <w:t xml:space="preserve">omo fuente de información </w:t>
      </w:r>
      <w:r w:rsidR="009D17A2" w:rsidRPr="00875048">
        <w:rPr>
          <w:rFonts w:ascii="Times New Roman" w:hAnsi="Times New Roman" w:cs="Times New Roman"/>
          <w:sz w:val="24"/>
          <w:szCs w:val="24"/>
          <w:lang w:val="es-CO"/>
        </w:rPr>
        <w:t>se obtuvo del plan nacional de vacunación contra el COVID-19 de la página web del Ministerio de Salud y Protección Social</w:t>
      </w:r>
      <w:r w:rsidR="00396A64">
        <w:rPr>
          <w:rFonts w:ascii="Times New Roman" w:hAnsi="Times New Roman" w:cs="Times New Roman"/>
          <w:sz w:val="24"/>
          <w:szCs w:val="24"/>
          <w:lang w:val="es-CO"/>
        </w:rPr>
        <w:t xml:space="preserve"> (</w:t>
      </w:r>
      <w:r w:rsidR="000B7B72">
        <w:rPr>
          <w:rFonts w:ascii="Times New Roman" w:hAnsi="Times New Roman" w:cs="Times New Roman"/>
          <w:sz w:val="24"/>
          <w:szCs w:val="24"/>
          <w:lang w:val="es-CO"/>
        </w:rPr>
        <w:t>20</w:t>
      </w:r>
      <w:r w:rsidR="00396A64">
        <w:rPr>
          <w:rFonts w:ascii="Times New Roman" w:hAnsi="Times New Roman" w:cs="Times New Roman"/>
          <w:sz w:val="24"/>
          <w:szCs w:val="24"/>
          <w:lang w:val="es-CO"/>
        </w:rPr>
        <w:t>)</w:t>
      </w:r>
      <w:r w:rsidR="003777A4">
        <w:rPr>
          <w:rFonts w:ascii="Times New Roman" w:hAnsi="Times New Roman" w:cs="Times New Roman"/>
          <w:sz w:val="24"/>
          <w:szCs w:val="24"/>
          <w:lang w:val="es-CO"/>
        </w:rPr>
        <w:t>.</w:t>
      </w:r>
      <w:r w:rsidR="009D17A2" w:rsidRPr="00875048">
        <w:rPr>
          <w:rFonts w:ascii="Times New Roman" w:hAnsi="Times New Roman" w:cs="Times New Roman"/>
          <w:sz w:val="24"/>
          <w:szCs w:val="24"/>
          <w:lang w:val="es-CO"/>
        </w:rPr>
        <w:t xml:space="preserve"> </w:t>
      </w:r>
      <w:r w:rsidR="009D17A2">
        <w:rPr>
          <w:rFonts w:ascii="Times New Roman" w:hAnsi="Times New Roman" w:cs="Times New Roman"/>
          <w:sz w:val="24"/>
          <w:szCs w:val="24"/>
          <w:lang w:val="es-CO"/>
        </w:rPr>
        <w:t>Además, se</w:t>
      </w:r>
      <w:r w:rsidR="009D17A2" w:rsidRPr="00E568E3">
        <w:rPr>
          <w:rFonts w:ascii="Times New Roman" w:hAnsi="Times New Roman" w:cs="Times New Roman"/>
          <w:sz w:val="24"/>
          <w:szCs w:val="24"/>
          <w:lang w:val="es-CO"/>
        </w:rPr>
        <w:t xml:space="preserve"> maneja</w:t>
      </w:r>
      <w:r w:rsidR="009D17A2">
        <w:rPr>
          <w:rFonts w:ascii="Times New Roman" w:hAnsi="Times New Roman" w:cs="Times New Roman"/>
          <w:sz w:val="24"/>
          <w:szCs w:val="24"/>
          <w:lang w:val="es-CO"/>
        </w:rPr>
        <w:t>ron</w:t>
      </w:r>
      <w:r w:rsidR="009D17A2" w:rsidRPr="00E568E3">
        <w:rPr>
          <w:rFonts w:ascii="Times New Roman" w:hAnsi="Times New Roman" w:cs="Times New Roman"/>
          <w:sz w:val="24"/>
          <w:szCs w:val="24"/>
          <w:lang w:val="es-CO"/>
        </w:rPr>
        <w:t xml:space="preserve"> medios matemáticos y estadísticos cotidianos para valorar los resultados de modo </w:t>
      </w:r>
      <w:r w:rsidR="009D17A2">
        <w:rPr>
          <w:rFonts w:ascii="Times New Roman" w:hAnsi="Times New Roman" w:cs="Times New Roman"/>
          <w:sz w:val="24"/>
          <w:szCs w:val="24"/>
          <w:lang w:val="es-CO"/>
        </w:rPr>
        <w:t>evidente</w:t>
      </w:r>
      <w:r w:rsidR="00396A64">
        <w:rPr>
          <w:rFonts w:ascii="Times New Roman" w:hAnsi="Times New Roman" w:cs="Times New Roman"/>
          <w:sz w:val="24"/>
          <w:szCs w:val="24"/>
          <w:lang w:val="es-CO"/>
        </w:rPr>
        <w:t xml:space="preserve"> (</w:t>
      </w:r>
      <w:r w:rsidR="000B7B72">
        <w:rPr>
          <w:rFonts w:ascii="Times New Roman" w:hAnsi="Times New Roman" w:cs="Times New Roman"/>
          <w:sz w:val="24"/>
          <w:szCs w:val="24"/>
          <w:lang w:val="es-CO"/>
        </w:rPr>
        <w:t>21</w:t>
      </w:r>
      <w:r w:rsidR="00396A64">
        <w:rPr>
          <w:rFonts w:ascii="Times New Roman" w:hAnsi="Times New Roman" w:cs="Times New Roman"/>
          <w:sz w:val="24"/>
          <w:szCs w:val="24"/>
          <w:lang w:val="es-CO"/>
        </w:rPr>
        <w:t>,</w:t>
      </w:r>
      <w:r w:rsidR="000B7B72">
        <w:rPr>
          <w:rFonts w:ascii="Times New Roman" w:hAnsi="Times New Roman" w:cs="Times New Roman"/>
          <w:sz w:val="24"/>
          <w:szCs w:val="24"/>
          <w:lang w:val="es-CO"/>
        </w:rPr>
        <w:t>22</w:t>
      </w:r>
      <w:r w:rsidR="00396A64">
        <w:rPr>
          <w:rFonts w:ascii="Times New Roman" w:hAnsi="Times New Roman" w:cs="Times New Roman"/>
          <w:sz w:val="24"/>
          <w:szCs w:val="24"/>
          <w:lang w:val="es-CO"/>
        </w:rPr>
        <w:t>,</w:t>
      </w:r>
      <w:r w:rsidR="000B7B72">
        <w:rPr>
          <w:rFonts w:ascii="Times New Roman" w:hAnsi="Times New Roman" w:cs="Times New Roman"/>
          <w:sz w:val="24"/>
          <w:szCs w:val="24"/>
          <w:lang w:val="es-CO"/>
        </w:rPr>
        <w:t>23</w:t>
      </w:r>
      <w:r w:rsidR="00396A64">
        <w:rPr>
          <w:rFonts w:ascii="Times New Roman" w:hAnsi="Times New Roman" w:cs="Times New Roman"/>
          <w:sz w:val="24"/>
          <w:szCs w:val="24"/>
          <w:lang w:val="es-CO"/>
        </w:rPr>
        <w:t>)</w:t>
      </w:r>
      <w:r w:rsidR="00D53F3D">
        <w:rPr>
          <w:rFonts w:ascii="Times New Roman" w:hAnsi="Times New Roman" w:cs="Times New Roman"/>
          <w:sz w:val="24"/>
          <w:szCs w:val="24"/>
          <w:lang w:val="es-CO"/>
        </w:rPr>
        <w:t>.</w:t>
      </w:r>
    </w:p>
    <w:p w14:paraId="124FF677" w14:textId="77777777" w:rsidR="00293F89" w:rsidRDefault="00293F89" w:rsidP="009D17A2">
      <w:pPr>
        <w:shd w:val="clear" w:color="auto" w:fill="FFFFFF"/>
        <w:spacing w:after="0" w:line="360" w:lineRule="auto"/>
        <w:jc w:val="both"/>
        <w:rPr>
          <w:rFonts w:ascii="Times New Roman" w:hAnsi="Times New Roman" w:cs="Times New Roman"/>
          <w:sz w:val="24"/>
          <w:szCs w:val="24"/>
          <w:lang w:val="es-CO"/>
        </w:rPr>
      </w:pPr>
    </w:p>
    <w:p w14:paraId="3C8868AB" w14:textId="77777777" w:rsidR="00E1496D" w:rsidRPr="00011922" w:rsidRDefault="00E1496D" w:rsidP="00E1496D">
      <w:pPr>
        <w:pStyle w:val="Ttulo2"/>
        <w:spacing w:line="360" w:lineRule="auto"/>
        <w:jc w:val="both"/>
        <w:rPr>
          <w:rFonts w:ascii="Times New Roman" w:hAnsi="Times New Roman" w:cs="Times New Roman"/>
          <w:b/>
          <w:bCs/>
          <w:color w:val="auto"/>
          <w:sz w:val="24"/>
          <w:szCs w:val="24"/>
        </w:rPr>
      </w:pPr>
      <w:r w:rsidRPr="00011922">
        <w:rPr>
          <w:rFonts w:ascii="Times New Roman" w:hAnsi="Times New Roman" w:cs="Times New Roman"/>
          <w:b/>
          <w:bCs/>
          <w:color w:val="auto"/>
          <w:sz w:val="24"/>
          <w:szCs w:val="24"/>
        </w:rPr>
        <w:t>Resultados</w:t>
      </w:r>
    </w:p>
    <w:p w14:paraId="58244C26" w14:textId="77777777" w:rsidR="00E1496D" w:rsidRDefault="00E1496D" w:rsidP="00E1496D">
      <w:pPr>
        <w:spacing w:after="0" w:line="360" w:lineRule="auto"/>
        <w:jc w:val="both"/>
        <w:rPr>
          <w:rFonts w:ascii="Times New Roman" w:hAnsi="Times New Roman" w:cs="Times New Roman"/>
          <w:sz w:val="24"/>
          <w:szCs w:val="24"/>
          <w:lang w:val="es-CO"/>
        </w:rPr>
      </w:pPr>
    </w:p>
    <w:p w14:paraId="038A3A74" w14:textId="50001F4D" w:rsidR="00E1496D" w:rsidRPr="00011D21" w:rsidRDefault="00E1496D" w:rsidP="00011D21">
      <w:pPr>
        <w:spacing w:line="360" w:lineRule="auto"/>
        <w:jc w:val="both"/>
        <w:rPr>
          <w:rFonts w:ascii="Times New Roman" w:hAnsi="Times New Roman" w:cs="Times New Roman"/>
          <w:sz w:val="24"/>
          <w:szCs w:val="24"/>
          <w:lang w:val="es-CO"/>
        </w:rPr>
      </w:pPr>
      <w:r w:rsidRPr="00011D21">
        <w:rPr>
          <w:rFonts w:ascii="Times New Roman" w:hAnsi="Times New Roman" w:cs="Times New Roman"/>
          <w:sz w:val="24"/>
          <w:szCs w:val="24"/>
          <w:lang w:val="es-CO"/>
        </w:rPr>
        <w:t xml:space="preserve">En la </w:t>
      </w:r>
      <w:r w:rsidRPr="00011D21">
        <w:rPr>
          <w:rFonts w:ascii="Times New Roman" w:hAnsi="Times New Roman" w:cs="Times New Roman"/>
          <w:b/>
          <w:sz w:val="24"/>
          <w:szCs w:val="24"/>
          <w:lang w:val="es-CO"/>
        </w:rPr>
        <w:t>figura 1</w:t>
      </w:r>
      <w:r w:rsidRPr="00011D21">
        <w:rPr>
          <w:rFonts w:ascii="Times New Roman" w:hAnsi="Times New Roman" w:cs="Times New Roman"/>
          <w:sz w:val="24"/>
          <w:szCs w:val="24"/>
          <w:lang w:val="es-CO"/>
        </w:rPr>
        <w:t xml:space="preserve"> </w:t>
      </w:r>
      <w:r w:rsidR="00266322" w:rsidRPr="00011D21">
        <w:rPr>
          <w:rFonts w:ascii="Times New Roman" w:hAnsi="Times New Roman" w:cs="Times New Roman"/>
          <w:sz w:val="24"/>
          <w:szCs w:val="24"/>
          <w:lang w:val="es-CO"/>
        </w:rPr>
        <w:t>logramos</w:t>
      </w:r>
      <w:r w:rsidRPr="00011D21">
        <w:rPr>
          <w:rFonts w:ascii="Times New Roman" w:hAnsi="Times New Roman" w:cs="Times New Roman"/>
          <w:sz w:val="24"/>
          <w:szCs w:val="24"/>
          <w:lang w:val="es-CO"/>
        </w:rPr>
        <w:t xml:space="preserve"> apreciar los valores de </w:t>
      </w:r>
      <w:r w:rsidR="000A0268" w:rsidRPr="00011D21">
        <w:rPr>
          <w:rFonts w:ascii="Times New Roman" w:hAnsi="Times New Roman" w:cs="Times New Roman"/>
          <w:sz w:val="24"/>
          <w:szCs w:val="24"/>
          <w:lang w:val="es-CO"/>
        </w:rPr>
        <w:t xml:space="preserve">las </w:t>
      </w:r>
      <w:r w:rsidR="007F7627" w:rsidRPr="00011D21">
        <w:rPr>
          <w:rFonts w:ascii="Times New Roman" w:hAnsi="Times New Roman" w:cs="Times New Roman"/>
          <w:sz w:val="24"/>
          <w:szCs w:val="24"/>
          <w:lang w:val="es-CO"/>
        </w:rPr>
        <w:t>vacunas</w:t>
      </w:r>
      <w:r w:rsidR="000A0268" w:rsidRPr="00011D21">
        <w:rPr>
          <w:rFonts w:ascii="Times New Roman" w:hAnsi="Times New Roman" w:cs="Times New Roman"/>
          <w:sz w:val="24"/>
          <w:szCs w:val="24"/>
          <w:lang w:val="es-CO"/>
        </w:rPr>
        <w:t xml:space="preserve"> </w:t>
      </w:r>
      <w:r w:rsidR="00DF666E" w:rsidRPr="00011D21">
        <w:rPr>
          <w:rFonts w:ascii="Times New Roman" w:hAnsi="Times New Roman" w:cs="Times New Roman"/>
          <w:sz w:val="24"/>
          <w:szCs w:val="24"/>
          <w:lang w:val="es-CO"/>
        </w:rPr>
        <w:t>aplicadas para primera dosis, segunda dosis y monodosis</w:t>
      </w:r>
      <w:r w:rsidR="000A0268" w:rsidRPr="00011D21">
        <w:rPr>
          <w:rFonts w:ascii="Times New Roman" w:hAnsi="Times New Roman" w:cs="Times New Roman"/>
          <w:sz w:val="24"/>
          <w:szCs w:val="24"/>
          <w:lang w:val="es-CO"/>
        </w:rPr>
        <w:t xml:space="preserve"> </w:t>
      </w:r>
      <w:r w:rsidRPr="00011D21">
        <w:rPr>
          <w:rFonts w:ascii="Times New Roman" w:hAnsi="Times New Roman" w:cs="Times New Roman"/>
          <w:sz w:val="24"/>
          <w:szCs w:val="24"/>
          <w:lang w:val="es-CO"/>
        </w:rPr>
        <w:t xml:space="preserve">para la vacunación contra SARS-COV-2 en las entidades territoriales de Colombia, al </w:t>
      </w:r>
      <w:r w:rsidR="007F7627" w:rsidRPr="00011D21">
        <w:rPr>
          <w:rFonts w:ascii="Times New Roman" w:hAnsi="Times New Roman" w:cs="Times New Roman"/>
          <w:sz w:val="24"/>
          <w:szCs w:val="24"/>
          <w:lang w:val="es-CO"/>
        </w:rPr>
        <w:t>5 de agosto</w:t>
      </w:r>
      <w:r w:rsidRPr="00011D21">
        <w:rPr>
          <w:rFonts w:ascii="Times New Roman" w:hAnsi="Times New Roman" w:cs="Times New Roman"/>
          <w:sz w:val="24"/>
          <w:szCs w:val="24"/>
          <w:lang w:val="es-CO"/>
        </w:rPr>
        <w:t xml:space="preserve"> de 2021. En ella se puede inferir que las entidades territoriales con mayor número </w:t>
      </w:r>
      <w:r w:rsidR="00254193" w:rsidRPr="00011D21">
        <w:rPr>
          <w:rFonts w:ascii="Times New Roman" w:hAnsi="Times New Roman" w:cs="Times New Roman"/>
          <w:sz w:val="24"/>
          <w:szCs w:val="24"/>
          <w:lang w:val="es-CO"/>
        </w:rPr>
        <w:t>vacunas</w:t>
      </w:r>
      <w:r w:rsidR="00F76F1D" w:rsidRPr="00011D21">
        <w:rPr>
          <w:rFonts w:ascii="Times New Roman" w:hAnsi="Times New Roman" w:cs="Times New Roman"/>
          <w:sz w:val="24"/>
          <w:szCs w:val="24"/>
          <w:lang w:val="es-CO"/>
        </w:rPr>
        <w:t xml:space="preserve"> </w:t>
      </w:r>
      <w:r w:rsidR="004A3ADD" w:rsidRPr="00011D21">
        <w:rPr>
          <w:rFonts w:ascii="Times New Roman" w:hAnsi="Times New Roman" w:cs="Times New Roman"/>
          <w:sz w:val="24"/>
          <w:szCs w:val="24"/>
          <w:lang w:val="es-CO"/>
        </w:rPr>
        <w:t>aplicadas</w:t>
      </w:r>
      <w:r w:rsidR="00F76F1D" w:rsidRPr="00011D21">
        <w:rPr>
          <w:rFonts w:ascii="Times New Roman" w:hAnsi="Times New Roman" w:cs="Times New Roman"/>
          <w:sz w:val="24"/>
          <w:szCs w:val="24"/>
          <w:lang w:val="es-CO"/>
        </w:rPr>
        <w:t xml:space="preserve"> </w:t>
      </w:r>
      <w:r w:rsidR="00254193" w:rsidRPr="00011D21">
        <w:rPr>
          <w:rFonts w:ascii="Times New Roman" w:hAnsi="Times New Roman" w:cs="Times New Roman"/>
          <w:sz w:val="24"/>
          <w:szCs w:val="24"/>
          <w:lang w:val="es-CO"/>
        </w:rPr>
        <w:t>están</w:t>
      </w:r>
      <w:r w:rsidRPr="00011D21">
        <w:rPr>
          <w:rFonts w:ascii="Times New Roman" w:hAnsi="Times New Roman" w:cs="Times New Roman"/>
          <w:sz w:val="24"/>
          <w:szCs w:val="24"/>
          <w:lang w:val="es-CO"/>
        </w:rPr>
        <w:t xml:space="preserve">: </w:t>
      </w:r>
      <w:r w:rsidR="00E1586F" w:rsidRPr="00011D21">
        <w:rPr>
          <w:rFonts w:ascii="Times New Roman" w:hAnsi="Times New Roman" w:cs="Times New Roman"/>
          <w:sz w:val="24"/>
          <w:szCs w:val="24"/>
          <w:lang w:val="es-CO"/>
        </w:rPr>
        <w:t>Bogotá (</w:t>
      </w:r>
      <w:r w:rsidR="004A3ADD" w:rsidRPr="00011D21">
        <w:rPr>
          <w:rFonts w:ascii="Times New Roman" w:eastAsia="Times New Roman" w:hAnsi="Times New Roman" w:cs="Times New Roman"/>
          <w:color w:val="000000"/>
          <w:sz w:val="24"/>
          <w:szCs w:val="24"/>
          <w:lang w:val="es-CO" w:eastAsia="es-CO"/>
        </w:rPr>
        <w:t>3’345.545-2’423.939-400.150</w:t>
      </w:r>
      <w:r w:rsidR="00E1586F" w:rsidRPr="00011D21">
        <w:rPr>
          <w:rFonts w:ascii="Times New Roman" w:hAnsi="Times New Roman" w:cs="Times New Roman"/>
          <w:sz w:val="24"/>
          <w:szCs w:val="24"/>
          <w:lang w:val="es-CO"/>
        </w:rPr>
        <w:t xml:space="preserve">), </w:t>
      </w:r>
      <w:r w:rsidRPr="00011D21">
        <w:rPr>
          <w:rFonts w:ascii="Times New Roman" w:hAnsi="Times New Roman" w:cs="Times New Roman"/>
          <w:sz w:val="24"/>
          <w:szCs w:val="24"/>
          <w:lang w:val="es-CO"/>
        </w:rPr>
        <w:t>Antioqu</w:t>
      </w:r>
      <w:r w:rsidR="00E1586F" w:rsidRPr="00011D21">
        <w:rPr>
          <w:rFonts w:ascii="Times New Roman" w:hAnsi="Times New Roman" w:cs="Times New Roman"/>
          <w:sz w:val="24"/>
          <w:szCs w:val="24"/>
          <w:lang w:val="es-CO"/>
        </w:rPr>
        <w:t>i</w:t>
      </w:r>
      <w:r w:rsidRPr="00011D21">
        <w:rPr>
          <w:rFonts w:ascii="Times New Roman" w:hAnsi="Times New Roman" w:cs="Times New Roman"/>
          <w:sz w:val="24"/>
          <w:szCs w:val="24"/>
          <w:lang w:val="es-CO"/>
        </w:rPr>
        <w:t>a (</w:t>
      </w:r>
      <w:r w:rsidR="005E44F0" w:rsidRPr="00011D21">
        <w:rPr>
          <w:rFonts w:ascii="Times New Roman" w:eastAsia="Times New Roman" w:hAnsi="Times New Roman" w:cs="Times New Roman"/>
          <w:color w:val="000000"/>
          <w:sz w:val="24"/>
          <w:szCs w:val="24"/>
          <w:lang w:val="es-CO" w:eastAsia="es-CO"/>
        </w:rPr>
        <w:t>2’684.291-1’880.552-378.700</w:t>
      </w:r>
      <w:r w:rsidRPr="00011D21">
        <w:rPr>
          <w:rFonts w:ascii="Times New Roman" w:hAnsi="Times New Roman" w:cs="Times New Roman"/>
          <w:sz w:val="24"/>
          <w:szCs w:val="24"/>
          <w:lang w:val="es-CO"/>
        </w:rPr>
        <w:t>),</w:t>
      </w:r>
      <w:r w:rsidR="004B178D" w:rsidRPr="00011D21">
        <w:rPr>
          <w:rFonts w:ascii="Times New Roman" w:hAnsi="Times New Roman" w:cs="Times New Roman"/>
          <w:sz w:val="24"/>
          <w:szCs w:val="24"/>
          <w:lang w:val="es-CO"/>
        </w:rPr>
        <w:t xml:space="preserve"> </w:t>
      </w:r>
      <w:r w:rsidRPr="00011D21">
        <w:rPr>
          <w:rFonts w:ascii="Times New Roman" w:hAnsi="Times New Roman" w:cs="Times New Roman"/>
          <w:sz w:val="24"/>
          <w:szCs w:val="24"/>
          <w:lang w:val="es-CO"/>
        </w:rPr>
        <w:t>Valle del Cauca (</w:t>
      </w:r>
      <w:r w:rsidR="005E44F0" w:rsidRPr="00011D21">
        <w:rPr>
          <w:rFonts w:ascii="Times New Roman" w:eastAsia="Times New Roman" w:hAnsi="Times New Roman" w:cs="Times New Roman"/>
          <w:color w:val="000000"/>
          <w:sz w:val="24"/>
          <w:szCs w:val="24"/>
          <w:lang w:val="es-CO" w:eastAsia="es-CO"/>
        </w:rPr>
        <w:t>1’667.066-1’137.959-132.550</w:t>
      </w:r>
      <w:r w:rsidRPr="00011D21">
        <w:rPr>
          <w:rFonts w:ascii="Times New Roman" w:hAnsi="Times New Roman" w:cs="Times New Roman"/>
          <w:sz w:val="24"/>
          <w:szCs w:val="24"/>
          <w:lang w:val="es-CO"/>
        </w:rPr>
        <w:t>), Cundinamarca (</w:t>
      </w:r>
      <w:r w:rsidR="005E44F0" w:rsidRPr="00011D21">
        <w:rPr>
          <w:rFonts w:ascii="Times New Roman" w:eastAsia="Times New Roman" w:hAnsi="Times New Roman" w:cs="Times New Roman"/>
          <w:color w:val="000000"/>
          <w:sz w:val="24"/>
          <w:szCs w:val="24"/>
          <w:lang w:val="es-CO" w:eastAsia="es-CO"/>
        </w:rPr>
        <w:t>1’104.546-743.951-206.850</w:t>
      </w:r>
      <w:r w:rsidRPr="00011D21">
        <w:rPr>
          <w:rFonts w:ascii="Times New Roman" w:hAnsi="Times New Roman" w:cs="Times New Roman"/>
          <w:sz w:val="24"/>
          <w:szCs w:val="24"/>
          <w:lang w:val="es-CO"/>
        </w:rPr>
        <w:t>), y Santander (</w:t>
      </w:r>
      <w:r w:rsidR="005E44F0" w:rsidRPr="00011D21">
        <w:rPr>
          <w:rFonts w:ascii="Times New Roman" w:eastAsia="Times New Roman" w:hAnsi="Times New Roman" w:cs="Times New Roman"/>
          <w:color w:val="000000"/>
          <w:sz w:val="24"/>
          <w:szCs w:val="24"/>
          <w:lang w:val="es-CO" w:eastAsia="es-CO"/>
        </w:rPr>
        <w:t>900.606-631.517-163.750</w:t>
      </w:r>
      <w:r w:rsidR="006F393B" w:rsidRPr="00011D21">
        <w:rPr>
          <w:rFonts w:ascii="Times New Roman" w:eastAsia="Times New Roman" w:hAnsi="Times New Roman" w:cs="Times New Roman"/>
          <w:color w:val="000000"/>
          <w:sz w:val="24"/>
          <w:szCs w:val="24"/>
          <w:lang w:val="es-CO" w:eastAsia="es-CO"/>
        </w:rPr>
        <w:t>)</w:t>
      </w:r>
      <w:r w:rsidRPr="00011D21">
        <w:rPr>
          <w:rFonts w:ascii="Times New Roman" w:hAnsi="Times New Roman" w:cs="Times New Roman"/>
          <w:sz w:val="24"/>
          <w:szCs w:val="24"/>
          <w:lang w:val="es-CO"/>
        </w:rPr>
        <w:t xml:space="preserve">, y las entidades territoriales con menor </w:t>
      </w:r>
      <w:r w:rsidR="00972002" w:rsidRPr="00011D21">
        <w:rPr>
          <w:rFonts w:ascii="Times New Roman" w:hAnsi="Times New Roman" w:cs="Times New Roman"/>
          <w:sz w:val="24"/>
          <w:szCs w:val="24"/>
          <w:lang w:val="es-CO"/>
        </w:rPr>
        <w:t xml:space="preserve">número </w:t>
      </w:r>
      <w:r w:rsidR="006F393B" w:rsidRPr="00011D21">
        <w:rPr>
          <w:rFonts w:ascii="Times New Roman" w:hAnsi="Times New Roman" w:cs="Times New Roman"/>
          <w:sz w:val="24"/>
          <w:szCs w:val="24"/>
          <w:lang w:val="es-CO"/>
        </w:rPr>
        <w:t>vacunas</w:t>
      </w:r>
      <w:r w:rsidR="00972002" w:rsidRPr="00011D21">
        <w:rPr>
          <w:rFonts w:ascii="Times New Roman" w:hAnsi="Times New Roman" w:cs="Times New Roman"/>
          <w:sz w:val="24"/>
          <w:szCs w:val="24"/>
          <w:lang w:val="es-CO"/>
        </w:rPr>
        <w:t xml:space="preserve"> asignadas </w:t>
      </w:r>
      <w:r w:rsidR="006F393B" w:rsidRPr="00011D21">
        <w:rPr>
          <w:rFonts w:ascii="Times New Roman" w:hAnsi="Times New Roman" w:cs="Times New Roman"/>
          <w:sz w:val="24"/>
          <w:szCs w:val="24"/>
          <w:lang w:val="es-CO"/>
        </w:rPr>
        <w:t>están</w:t>
      </w:r>
      <w:r w:rsidRPr="00011D21">
        <w:rPr>
          <w:rFonts w:ascii="Times New Roman" w:hAnsi="Times New Roman" w:cs="Times New Roman"/>
          <w:sz w:val="24"/>
          <w:szCs w:val="24"/>
          <w:lang w:val="es-CO"/>
        </w:rPr>
        <w:t>: Vaupés (</w:t>
      </w:r>
      <w:r w:rsidR="00011D21" w:rsidRPr="00011D21">
        <w:rPr>
          <w:rFonts w:ascii="Times New Roman" w:eastAsia="Times New Roman" w:hAnsi="Times New Roman" w:cs="Times New Roman"/>
          <w:color w:val="000000"/>
          <w:sz w:val="24"/>
          <w:szCs w:val="24"/>
          <w:lang w:val="es-CO" w:eastAsia="es-CO"/>
        </w:rPr>
        <w:t>11</w:t>
      </w:r>
      <w:r w:rsidR="00011D21">
        <w:rPr>
          <w:rFonts w:ascii="Times New Roman" w:eastAsia="Times New Roman" w:hAnsi="Times New Roman" w:cs="Times New Roman"/>
          <w:color w:val="000000"/>
          <w:sz w:val="24"/>
          <w:szCs w:val="24"/>
          <w:lang w:val="es-CO" w:eastAsia="es-CO"/>
        </w:rPr>
        <w:t>.</w:t>
      </w:r>
      <w:r w:rsidR="00011D21" w:rsidRPr="00011D21">
        <w:rPr>
          <w:rFonts w:ascii="Times New Roman" w:eastAsia="Times New Roman" w:hAnsi="Times New Roman" w:cs="Times New Roman"/>
          <w:color w:val="000000"/>
          <w:sz w:val="24"/>
          <w:szCs w:val="24"/>
          <w:lang w:val="es-CO" w:eastAsia="es-CO"/>
        </w:rPr>
        <w:t>386-6</w:t>
      </w:r>
      <w:r w:rsidR="00011D21">
        <w:rPr>
          <w:rFonts w:ascii="Times New Roman" w:eastAsia="Times New Roman" w:hAnsi="Times New Roman" w:cs="Times New Roman"/>
          <w:color w:val="000000"/>
          <w:sz w:val="24"/>
          <w:szCs w:val="24"/>
          <w:lang w:val="es-CO" w:eastAsia="es-CO"/>
        </w:rPr>
        <w:t>.</w:t>
      </w:r>
      <w:r w:rsidR="00011D21" w:rsidRPr="00011D21">
        <w:rPr>
          <w:rFonts w:ascii="Times New Roman" w:eastAsia="Times New Roman" w:hAnsi="Times New Roman" w:cs="Times New Roman"/>
          <w:color w:val="000000"/>
          <w:sz w:val="24"/>
          <w:szCs w:val="24"/>
          <w:lang w:val="es-CO" w:eastAsia="es-CO"/>
        </w:rPr>
        <w:t>145-2</w:t>
      </w:r>
      <w:r w:rsidR="00011D21">
        <w:rPr>
          <w:rFonts w:ascii="Times New Roman" w:eastAsia="Times New Roman" w:hAnsi="Times New Roman" w:cs="Times New Roman"/>
          <w:color w:val="000000"/>
          <w:sz w:val="24"/>
          <w:szCs w:val="24"/>
          <w:lang w:val="es-CO" w:eastAsia="es-CO"/>
        </w:rPr>
        <w:t>.</w:t>
      </w:r>
      <w:r w:rsidR="00011D21" w:rsidRPr="00011D21">
        <w:rPr>
          <w:rFonts w:ascii="Times New Roman" w:eastAsia="Times New Roman" w:hAnsi="Times New Roman" w:cs="Times New Roman"/>
          <w:color w:val="000000"/>
          <w:sz w:val="24"/>
          <w:szCs w:val="24"/>
          <w:lang w:val="es-CO" w:eastAsia="es-CO"/>
        </w:rPr>
        <w:t>800</w:t>
      </w:r>
      <w:r w:rsidR="003D0682" w:rsidRPr="00011D21">
        <w:rPr>
          <w:rFonts w:ascii="Times New Roman" w:eastAsia="Times New Roman" w:hAnsi="Times New Roman" w:cs="Times New Roman"/>
          <w:color w:val="000000"/>
          <w:sz w:val="24"/>
          <w:szCs w:val="24"/>
          <w:lang w:val="es-CO" w:eastAsia="es-CO"/>
        </w:rPr>
        <w:t>)</w:t>
      </w:r>
      <w:r w:rsidRPr="00011D21">
        <w:rPr>
          <w:rFonts w:ascii="Times New Roman" w:hAnsi="Times New Roman" w:cs="Times New Roman"/>
          <w:color w:val="ED7D31" w:themeColor="accent2"/>
          <w:sz w:val="24"/>
          <w:szCs w:val="24"/>
          <w:lang w:val="es-CO"/>
        </w:rPr>
        <w:t xml:space="preserve">, </w:t>
      </w:r>
      <w:r w:rsidR="004D7199" w:rsidRPr="00011D21">
        <w:rPr>
          <w:rFonts w:ascii="Times New Roman" w:hAnsi="Times New Roman" w:cs="Times New Roman"/>
          <w:sz w:val="24"/>
          <w:szCs w:val="24"/>
          <w:lang w:val="es-CO"/>
        </w:rPr>
        <w:t>Vichada (</w:t>
      </w:r>
      <w:r w:rsidR="00011D21" w:rsidRPr="00011D21">
        <w:rPr>
          <w:rFonts w:ascii="Times New Roman" w:eastAsia="Times New Roman" w:hAnsi="Times New Roman" w:cs="Times New Roman"/>
          <w:color w:val="000000"/>
          <w:sz w:val="24"/>
          <w:szCs w:val="24"/>
          <w:lang w:val="es-CO" w:eastAsia="es-CO"/>
        </w:rPr>
        <w:t>12</w:t>
      </w:r>
      <w:r w:rsidR="00011D21">
        <w:rPr>
          <w:rFonts w:ascii="Times New Roman" w:eastAsia="Times New Roman" w:hAnsi="Times New Roman" w:cs="Times New Roman"/>
          <w:color w:val="000000"/>
          <w:sz w:val="24"/>
          <w:szCs w:val="24"/>
          <w:lang w:val="es-CO" w:eastAsia="es-CO"/>
        </w:rPr>
        <w:t>.</w:t>
      </w:r>
      <w:r w:rsidR="00011D21" w:rsidRPr="00011D21">
        <w:rPr>
          <w:rFonts w:ascii="Times New Roman" w:eastAsia="Times New Roman" w:hAnsi="Times New Roman" w:cs="Times New Roman"/>
          <w:color w:val="000000"/>
          <w:sz w:val="24"/>
          <w:szCs w:val="24"/>
          <w:lang w:val="es-CO" w:eastAsia="es-CO"/>
        </w:rPr>
        <w:t>666-8</w:t>
      </w:r>
      <w:r w:rsidR="00011D21">
        <w:rPr>
          <w:rFonts w:ascii="Times New Roman" w:eastAsia="Times New Roman" w:hAnsi="Times New Roman" w:cs="Times New Roman"/>
          <w:color w:val="000000"/>
          <w:sz w:val="24"/>
          <w:szCs w:val="24"/>
          <w:lang w:val="es-CO" w:eastAsia="es-CO"/>
        </w:rPr>
        <w:t>.</w:t>
      </w:r>
      <w:r w:rsidR="00011D21" w:rsidRPr="00011D21">
        <w:rPr>
          <w:rFonts w:ascii="Times New Roman" w:eastAsia="Times New Roman" w:hAnsi="Times New Roman" w:cs="Times New Roman"/>
          <w:color w:val="000000"/>
          <w:sz w:val="24"/>
          <w:szCs w:val="24"/>
          <w:lang w:val="es-CO" w:eastAsia="es-CO"/>
        </w:rPr>
        <w:t>968-4</w:t>
      </w:r>
      <w:r w:rsidR="00011D21">
        <w:rPr>
          <w:rFonts w:ascii="Times New Roman" w:eastAsia="Times New Roman" w:hAnsi="Times New Roman" w:cs="Times New Roman"/>
          <w:color w:val="000000"/>
          <w:sz w:val="24"/>
          <w:szCs w:val="24"/>
          <w:lang w:val="es-CO" w:eastAsia="es-CO"/>
        </w:rPr>
        <w:t>.</w:t>
      </w:r>
      <w:r w:rsidR="00011D21" w:rsidRPr="00011D21">
        <w:rPr>
          <w:rFonts w:ascii="Times New Roman" w:eastAsia="Times New Roman" w:hAnsi="Times New Roman" w:cs="Times New Roman"/>
          <w:color w:val="000000"/>
          <w:sz w:val="24"/>
          <w:szCs w:val="24"/>
          <w:lang w:val="es-CO" w:eastAsia="es-CO"/>
        </w:rPr>
        <w:t>650</w:t>
      </w:r>
      <w:r w:rsidR="004D7199" w:rsidRPr="00011D21">
        <w:rPr>
          <w:rFonts w:ascii="Times New Roman" w:hAnsi="Times New Roman" w:cs="Times New Roman"/>
          <w:sz w:val="24"/>
          <w:szCs w:val="24"/>
          <w:lang w:val="es-CO"/>
        </w:rPr>
        <w:t xml:space="preserve">), </w:t>
      </w:r>
      <w:r w:rsidRPr="00011D21">
        <w:rPr>
          <w:rFonts w:ascii="Times New Roman" w:hAnsi="Times New Roman" w:cs="Times New Roman"/>
          <w:sz w:val="24"/>
          <w:szCs w:val="24"/>
          <w:lang w:val="es-CO"/>
        </w:rPr>
        <w:t>Guainía (</w:t>
      </w:r>
      <w:r w:rsidR="00011D21" w:rsidRPr="00011D21">
        <w:rPr>
          <w:rFonts w:ascii="Times New Roman" w:eastAsia="Times New Roman" w:hAnsi="Times New Roman" w:cs="Times New Roman"/>
          <w:color w:val="000000"/>
          <w:sz w:val="24"/>
          <w:szCs w:val="24"/>
          <w:lang w:val="es-CO" w:eastAsia="es-CO"/>
        </w:rPr>
        <w:t>13</w:t>
      </w:r>
      <w:r w:rsidR="00011D21">
        <w:rPr>
          <w:rFonts w:ascii="Times New Roman" w:eastAsia="Times New Roman" w:hAnsi="Times New Roman" w:cs="Times New Roman"/>
          <w:color w:val="000000"/>
          <w:sz w:val="24"/>
          <w:szCs w:val="24"/>
          <w:lang w:val="es-CO" w:eastAsia="es-CO"/>
        </w:rPr>
        <w:t>.</w:t>
      </w:r>
      <w:r w:rsidR="00011D21" w:rsidRPr="00011D21">
        <w:rPr>
          <w:rFonts w:ascii="Times New Roman" w:eastAsia="Times New Roman" w:hAnsi="Times New Roman" w:cs="Times New Roman"/>
          <w:color w:val="000000"/>
          <w:sz w:val="24"/>
          <w:szCs w:val="24"/>
          <w:lang w:val="es-CO" w:eastAsia="es-CO"/>
        </w:rPr>
        <w:t>090-12</w:t>
      </w:r>
      <w:r w:rsidR="00011D21">
        <w:rPr>
          <w:rFonts w:ascii="Times New Roman" w:eastAsia="Times New Roman" w:hAnsi="Times New Roman" w:cs="Times New Roman"/>
          <w:color w:val="000000"/>
          <w:sz w:val="24"/>
          <w:szCs w:val="24"/>
          <w:lang w:val="es-CO" w:eastAsia="es-CO"/>
        </w:rPr>
        <w:t>.</w:t>
      </w:r>
      <w:r w:rsidR="00011D21" w:rsidRPr="00011D21">
        <w:rPr>
          <w:rFonts w:ascii="Times New Roman" w:eastAsia="Times New Roman" w:hAnsi="Times New Roman" w:cs="Times New Roman"/>
          <w:color w:val="000000"/>
          <w:sz w:val="24"/>
          <w:szCs w:val="24"/>
          <w:lang w:val="es-CO" w:eastAsia="es-CO"/>
        </w:rPr>
        <w:t>402-2</w:t>
      </w:r>
      <w:r w:rsidR="00011D21">
        <w:rPr>
          <w:rFonts w:ascii="Times New Roman" w:eastAsia="Times New Roman" w:hAnsi="Times New Roman" w:cs="Times New Roman"/>
          <w:color w:val="000000"/>
          <w:sz w:val="24"/>
          <w:szCs w:val="24"/>
          <w:lang w:val="es-CO" w:eastAsia="es-CO"/>
        </w:rPr>
        <w:t>.</w:t>
      </w:r>
      <w:r w:rsidR="00011D21" w:rsidRPr="00011D21">
        <w:rPr>
          <w:rFonts w:ascii="Times New Roman" w:eastAsia="Times New Roman" w:hAnsi="Times New Roman" w:cs="Times New Roman"/>
          <w:color w:val="000000"/>
          <w:sz w:val="24"/>
          <w:szCs w:val="24"/>
          <w:lang w:val="es-CO" w:eastAsia="es-CO"/>
        </w:rPr>
        <w:t>950</w:t>
      </w:r>
      <w:r w:rsidRPr="00011D21">
        <w:rPr>
          <w:rFonts w:ascii="Times New Roman" w:hAnsi="Times New Roman" w:cs="Times New Roman"/>
          <w:sz w:val="24"/>
          <w:szCs w:val="24"/>
          <w:lang w:val="es-CO"/>
        </w:rPr>
        <w:t xml:space="preserve">), </w:t>
      </w:r>
      <w:r w:rsidR="004D7199" w:rsidRPr="00011D21">
        <w:rPr>
          <w:rFonts w:ascii="Times New Roman" w:hAnsi="Times New Roman" w:cs="Times New Roman"/>
          <w:sz w:val="24"/>
          <w:szCs w:val="24"/>
          <w:lang w:val="es-CO"/>
        </w:rPr>
        <w:t>Guaviare (</w:t>
      </w:r>
      <w:r w:rsidR="00011D21" w:rsidRPr="00011D21">
        <w:rPr>
          <w:rFonts w:ascii="Times New Roman" w:eastAsia="Times New Roman" w:hAnsi="Times New Roman" w:cs="Times New Roman"/>
          <w:color w:val="000000"/>
          <w:sz w:val="24"/>
          <w:szCs w:val="24"/>
          <w:lang w:val="es-CO" w:eastAsia="es-CO"/>
        </w:rPr>
        <w:t>20</w:t>
      </w:r>
      <w:r w:rsidR="00011D21">
        <w:rPr>
          <w:rFonts w:ascii="Times New Roman" w:eastAsia="Times New Roman" w:hAnsi="Times New Roman" w:cs="Times New Roman"/>
          <w:color w:val="000000"/>
          <w:sz w:val="24"/>
          <w:szCs w:val="24"/>
          <w:lang w:val="es-CO" w:eastAsia="es-CO"/>
        </w:rPr>
        <w:t>.</w:t>
      </w:r>
      <w:r w:rsidR="00011D21" w:rsidRPr="00011D21">
        <w:rPr>
          <w:rFonts w:ascii="Times New Roman" w:eastAsia="Times New Roman" w:hAnsi="Times New Roman" w:cs="Times New Roman"/>
          <w:color w:val="000000"/>
          <w:sz w:val="24"/>
          <w:szCs w:val="24"/>
          <w:lang w:val="es-CO" w:eastAsia="es-CO"/>
        </w:rPr>
        <w:t>132-12</w:t>
      </w:r>
      <w:r w:rsidR="00011D21">
        <w:rPr>
          <w:rFonts w:ascii="Times New Roman" w:eastAsia="Times New Roman" w:hAnsi="Times New Roman" w:cs="Times New Roman"/>
          <w:color w:val="000000"/>
          <w:sz w:val="24"/>
          <w:szCs w:val="24"/>
          <w:lang w:val="es-CO" w:eastAsia="es-CO"/>
        </w:rPr>
        <w:t>.</w:t>
      </w:r>
      <w:r w:rsidR="00011D21" w:rsidRPr="00011D21">
        <w:rPr>
          <w:rFonts w:ascii="Times New Roman" w:eastAsia="Times New Roman" w:hAnsi="Times New Roman" w:cs="Times New Roman"/>
          <w:color w:val="000000"/>
          <w:sz w:val="24"/>
          <w:szCs w:val="24"/>
          <w:lang w:val="es-CO" w:eastAsia="es-CO"/>
        </w:rPr>
        <w:t>358-12</w:t>
      </w:r>
      <w:r w:rsidR="00011D21">
        <w:rPr>
          <w:rFonts w:ascii="Times New Roman" w:eastAsia="Times New Roman" w:hAnsi="Times New Roman" w:cs="Times New Roman"/>
          <w:color w:val="000000"/>
          <w:sz w:val="24"/>
          <w:szCs w:val="24"/>
          <w:lang w:val="es-CO" w:eastAsia="es-CO"/>
        </w:rPr>
        <w:t>.</w:t>
      </w:r>
      <w:r w:rsidR="00011D21" w:rsidRPr="00011D21">
        <w:rPr>
          <w:rFonts w:ascii="Times New Roman" w:eastAsia="Times New Roman" w:hAnsi="Times New Roman" w:cs="Times New Roman"/>
          <w:color w:val="000000"/>
          <w:sz w:val="24"/>
          <w:szCs w:val="24"/>
          <w:lang w:val="es-CO" w:eastAsia="es-CO"/>
        </w:rPr>
        <w:t>350</w:t>
      </w:r>
      <w:r w:rsidR="004D7199" w:rsidRPr="00011D21">
        <w:rPr>
          <w:rFonts w:ascii="Times New Roman" w:hAnsi="Times New Roman" w:cs="Times New Roman"/>
          <w:sz w:val="24"/>
          <w:szCs w:val="24"/>
          <w:lang w:val="es-CO"/>
        </w:rPr>
        <w:t>)</w:t>
      </w:r>
      <w:r w:rsidRPr="00011D21">
        <w:rPr>
          <w:rFonts w:ascii="Times New Roman" w:hAnsi="Times New Roman" w:cs="Times New Roman"/>
          <w:sz w:val="24"/>
          <w:szCs w:val="24"/>
          <w:lang w:val="es-CO"/>
        </w:rPr>
        <w:t xml:space="preserve">, </w:t>
      </w:r>
      <w:r w:rsidR="004D7199" w:rsidRPr="00011D21">
        <w:rPr>
          <w:rFonts w:ascii="Times New Roman" w:hAnsi="Times New Roman" w:cs="Times New Roman"/>
          <w:sz w:val="24"/>
          <w:szCs w:val="24"/>
          <w:lang w:val="es-CO"/>
        </w:rPr>
        <w:t xml:space="preserve">y </w:t>
      </w:r>
      <w:r w:rsidRPr="00011D21">
        <w:rPr>
          <w:rFonts w:ascii="Times New Roman" w:hAnsi="Times New Roman" w:cs="Times New Roman"/>
          <w:sz w:val="24"/>
          <w:szCs w:val="24"/>
          <w:lang w:val="es-CO"/>
        </w:rPr>
        <w:t>Amazonas (</w:t>
      </w:r>
      <w:r w:rsidR="00011D21" w:rsidRPr="00011D21">
        <w:rPr>
          <w:rFonts w:ascii="Times New Roman" w:hAnsi="Times New Roman" w:cs="Times New Roman"/>
          <w:sz w:val="24"/>
          <w:szCs w:val="24"/>
          <w:lang w:val="es-CO"/>
        </w:rPr>
        <w:t>41</w:t>
      </w:r>
      <w:r w:rsidR="00011D21">
        <w:rPr>
          <w:rFonts w:ascii="Times New Roman" w:hAnsi="Times New Roman" w:cs="Times New Roman"/>
          <w:sz w:val="24"/>
          <w:szCs w:val="24"/>
          <w:lang w:val="es-CO"/>
        </w:rPr>
        <w:t>.</w:t>
      </w:r>
      <w:r w:rsidR="00011D21" w:rsidRPr="00011D21">
        <w:rPr>
          <w:rFonts w:ascii="Times New Roman" w:hAnsi="Times New Roman" w:cs="Times New Roman"/>
          <w:sz w:val="24"/>
          <w:szCs w:val="24"/>
          <w:lang w:val="es-CO"/>
        </w:rPr>
        <w:t>865-25</w:t>
      </w:r>
      <w:r w:rsidR="00011D21">
        <w:rPr>
          <w:rFonts w:ascii="Times New Roman" w:hAnsi="Times New Roman" w:cs="Times New Roman"/>
          <w:sz w:val="24"/>
          <w:szCs w:val="24"/>
          <w:lang w:val="es-CO"/>
        </w:rPr>
        <w:t>.</w:t>
      </w:r>
      <w:r w:rsidR="00011D21" w:rsidRPr="00011D21">
        <w:rPr>
          <w:rFonts w:ascii="Times New Roman" w:hAnsi="Times New Roman" w:cs="Times New Roman"/>
          <w:sz w:val="24"/>
          <w:szCs w:val="24"/>
          <w:lang w:val="es-CO"/>
        </w:rPr>
        <w:t>641-8</w:t>
      </w:r>
      <w:r w:rsidR="00011D21">
        <w:rPr>
          <w:rFonts w:ascii="Times New Roman" w:hAnsi="Times New Roman" w:cs="Times New Roman"/>
          <w:sz w:val="24"/>
          <w:szCs w:val="24"/>
          <w:lang w:val="es-CO"/>
        </w:rPr>
        <w:t>.</w:t>
      </w:r>
      <w:r w:rsidR="00011D21" w:rsidRPr="00011D21">
        <w:rPr>
          <w:rFonts w:ascii="Times New Roman" w:hAnsi="Times New Roman" w:cs="Times New Roman"/>
          <w:sz w:val="24"/>
          <w:szCs w:val="24"/>
          <w:lang w:val="es-CO"/>
        </w:rPr>
        <w:t>550</w:t>
      </w:r>
      <w:r w:rsidRPr="00011D21">
        <w:rPr>
          <w:rFonts w:ascii="Times New Roman" w:hAnsi="Times New Roman" w:cs="Times New Roman"/>
          <w:sz w:val="24"/>
          <w:szCs w:val="24"/>
          <w:lang w:val="es-CO"/>
        </w:rPr>
        <w:t>)</w:t>
      </w:r>
      <w:r w:rsidR="004D7199" w:rsidRPr="00011D21">
        <w:rPr>
          <w:rFonts w:ascii="Times New Roman" w:hAnsi="Times New Roman" w:cs="Times New Roman"/>
          <w:sz w:val="24"/>
          <w:szCs w:val="24"/>
          <w:lang w:val="es-CO"/>
        </w:rPr>
        <w:t>.</w:t>
      </w:r>
      <w:r w:rsidRPr="00011D21">
        <w:rPr>
          <w:rFonts w:ascii="Times New Roman" w:hAnsi="Times New Roman" w:cs="Times New Roman"/>
          <w:sz w:val="24"/>
          <w:szCs w:val="24"/>
          <w:lang w:val="es-CO"/>
        </w:rPr>
        <w:t xml:space="preserve"> </w:t>
      </w:r>
    </w:p>
    <w:p w14:paraId="68F13626" w14:textId="38C58008" w:rsidR="00E1496D" w:rsidRDefault="00673D77" w:rsidP="00E1496D">
      <w:pPr>
        <w:pStyle w:val="Textoindependiente"/>
        <w:spacing w:line="360" w:lineRule="auto"/>
        <w:jc w:val="both"/>
        <w:rPr>
          <w:rFonts w:ascii="Times New Roman" w:hAnsi="Times New Roman" w:cs="Times New Roman"/>
          <w:sz w:val="24"/>
          <w:szCs w:val="24"/>
        </w:rPr>
      </w:pPr>
      <w:r>
        <w:rPr>
          <w:noProof/>
        </w:rPr>
        <w:drawing>
          <wp:inline distT="0" distB="0" distL="0" distR="0" wp14:anchorId="0BCD846F" wp14:editId="09130A3E">
            <wp:extent cx="5610225" cy="6624639"/>
            <wp:effectExtent l="0" t="0" r="9525" b="5080"/>
            <wp:docPr id="1" name="Gráfico 1">
              <a:extLst xmlns:a="http://schemas.openxmlformats.org/drawingml/2006/main">
                <a:ext uri="{FF2B5EF4-FFF2-40B4-BE49-F238E27FC236}">
                  <a16:creationId xmlns:a16="http://schemas.microsoft.com/office/drawing/2014/main" id="{6CA34DF0-312A-4A07-867F-3823164A9A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8B750FC" w14:textId="5C9E65A8" w:rsidR="00E1496D" w:rsidRPr="00831365" w:rsidRDefault="00E1496D" w:rsidP="00E1496D">
      <w:pPr>
        <w:pStyle w:val="Textoindependiente"/>
        <w:spacing w:line="360" w:lineRule="auto"/>
        <w:jc w:val="center"/>
        <w:rPr>
          <w:rFonts w:ascii="Times New Roman" w:hAnsi="Times New Roman" w:cs="Times New Roman"/>
          <w:sz w:val="20"/>
          <w:szCs w:val="20"/>
        </w:rPr>
      </w:pPr>
      <w:r w:rsidRPr="00831365">
        <w:rPr>
          <w:rFonts w:ascii="Times New Roman" w:hAnsi="Times New Roman" w:cs="Times New Roman"/>
          <w:b/>
          <w:bCs/>
          <w:sz w:val="20"/>
          <w:szCs w:val="20"/>
        </w:rPr>
        <w:t>Figura 1</w:t>
      </w:r>
      <w:r w:rsidR="00D40AAA">
        <w:rPr>
          <w:rFonts w:ascii="Times New Roman" w:hAnsi="Times New Roman" w:cs="Times New Roman"/>
          <w:b/>
          <w:bCs/>
          <w:sz w:val="20"/>
          <w:szCs w:val="20"/>
        </w:rPr>
        <w:t xml:space="preserve">. </w:t>
      </w:r>
      <w:r w:rsidR="00D40AAA" w:rsidRPr="00D40AAA">
        <w:rPr>
          <w:rFonts w:ascii="Times New Roman" w:hAnsi="Times New Roman" w:cs="Times New Roman"/>
          <w:sz w:val="20"/>
          <w:szCs w:val="20"/>
        </w:rPr>
        <w:t xml:space="preserve">Vacunas </w:t>
      </w:r>
      <w:r w:rsidR="00DF666E" w:rsidRPr="00DF666E">
        <w:rPr>
          <w:rFonts w:ascii="Times New Roman" w:hAnsi="Times New Roman" w:cs="Times New Roman"/>
          <w:sz w:val="20"/>
          <w:szCs w:val="20"/>
        </w:rPr>
        <w:t xml:space="preserve">aplicadas </w:t>
      </w:r>
      <w:r w:rsidR="00212C62" w:rsidRPr="00DF666E">
        <w:rPr>
          <w:rFonts w:ascii="Times New Roman" w:hAnsi="Times New Roman" w:cs="Times New Roman"/>
          <w:sz w:val="20"/>
          <w:szCs w:val="20"/>
        </w:rPr>
        <w:t>por</w:t>
      </w:r>
      <w:r w:rsidR="00212C62">
        <w:rPr>
          <w:rFonts w:ascii="Times New Roman" w:hAnsi="Times New Roman" w:cs="Times New Roman"/>
          <w:sz w:val="20"/>
          <w:szCs w:val="20"/>
        </w:rPr>
        <w:t xml:space="preserve"> dosis</w:t>
      </w:r>
      <w:r w:rsidR="00DF666E">
        <w:rPr>
          <w:rFonts w:ascii="Times New Roman" w:hAnsi="Times New Roman" w:cs="Times New Roman"/>
          <w:sz w:val="20"/>
          <w:szCs w:val="20"/>
        </w:rPr>
        <w:t xml:space="preserve"> por </w:t>
      </w:r>
      <w:r>
        <w:rPr>
          <w:rFonts w:ascii="Times New Roman" w:hAnsi="Times New Roman" w:cs="Times New Roman"/>
          <w:sz w:val="20"/>
          <w:szCs w:val="20"/>
        </w:rPr>
        <w:t xml:space="preserve">entidad territorial. </w:t>
      </w:r>
      <w:r w:rsidRPr="00C37B1F">
        <w:rPr>
          <w:rFonts w:ascii="Times New Roman" w:hAnsi="Times New Roman" w:cs="Times New Roman"/>
          <w:b/>
          <w:bCs/>
          <w:sz w:val="20"/>
          <w:szCs w:val="20"/>
        </w:rPr>
        <w:t>Fuente</w:t>
      </w:r>
      <w:r>
        <w:rPr>
          <w:rFonts w:ascii="Times New Roman" w:hAnsi="Times New Roman" w:cs="Times New Roman"/>
          <w:sz w:val="20"/>
          <w:szCs w:val="20"/>
        </w:rPr>
        <w:t>: el autor</w:t>
      </w:r>
    </w:p>
    <w:p w14:paraId="7AECB891" w14:textId="43AECE59" w:rsidR="00E1496D" w:rsidRDefault="00E1496D" w:rsidP="00E1496D">
      <w:pPr>
        <w:pStyle w:val="Textoindependiente"/>
        <w:spacing w:line="360" w:lineRule="auto"/>
        <w:jc w:val="both"/>
        <w:rPr>
          <w:rFonts w:ascii="Times New Roman" w:hAnsi="Times New Roman" w:cs="Times New Roman"/>
          <w:sz w:val="24"/>
          <w:szCs w:val="24"/>
          <w:lang w:eastAsia="es-CO"/>
        </w:rPr>
      </w:pPr>
    </w:p>
    <w:p w14:paraId="2F3C1946" w14:textId="66E6B1E4" w:rsidR="004633E6" w:rsidRPr="00011D21" w:rsidRDefault="00076632" w:rsidP="004633E6">
      <w:pPr>
        <w:spacing w:line="360" w:lineRule="auto"/>
        <w:jc w:val="both"/>
        <w:rPr>
          <w:rFonts w:ascii="Times New Roman" w:hAnsi="Times New Roman" w:cs="Times New Roman"/>
          <w:sz w:val="24"/>
          <w:szCs w:val="24"/>
          <w:lang w:val="es-CO"/>
        </w:rPr>
      </w:pPr>
      <w:r w:rsidRPr="00011D21">
        <w:rPr>
          <w:rFonts w:ascii="Times New Roman" w:hAnsi="Times New Roman" w:cs="Times New Roman"/>
          <w:sz w:val="24"/>
          <w:szCs w:val="24"/>
          <w:lang w:val="es-CO"/>
        </w:rPr>
        <w:t xml:space="preserve">En la </w:t>
      </w:r>
      <w:r w:rsidRPr="00011D21">
        <w:rPr>
          <w:rFonts w:ascii="Times New Roman" w:hAnsi="Times New Roman" w:cs="Times New Roman"/>
          <w:b/>
          <w:sz w:val="24"/>
          <w:szCs w:val="24"/>
          <w:lang w:val="es-CO"/>
        </w:rPr>
        <w:t xml:space="preserve">figura </w:t>
      </w:r>
      <w:r w:rsidR="00E13420">
        <w:rPr>
          <w:rFonts w:ascii="Times New Roman" w:hAnsi="Times New Roman" w:cs="Times New Roman"/>
          <w:b/>
          <w:sz w:val="24"/>
          <w:szCs w:val="24"/>
          <w:lang w:val="es-CO"/>
        </w:rPr>
        <w:t>2</w:t>
      </w:r>
      <w:r w:rsidRPr="00011D21">
        <w:rPr>
          <w:rFonts w:ascii="Times New Roman" w:hAnsi="Times New Roman" w:cs="Times New Roman"/>
          <w:sz w:val="24"/>
          <w:szCs w:val="24"/>
          <w:lang w:val="es-CO"/>
        </w:rPr>
        <w:t xml:space="preserve"> podemos </w:t>
      </w:r>
      <w:r>
        <w:rPr>
          <w:rFonts w:ascii="Times New Roman" w:hAnsi="Times New Roman" w:cs="Times New Roman"/>
          <w:sz w:val="24"/>
          <w:szCs w:val="24"/>
          <w:lang w:val="es-CO"/>
        </w:rPr>
        <w:t>observar</w:t>
      </w:r>
      <w:r w:rsidRPr="00011D21">
        <w:rPr>
          <w:rFonts w:ascii="Times New Roman" w:hAnsi="Times New Roman" w:cs="Times New Roman"/>
          <w:sz w:val="24"/>
          <w:szCs w:val="24"/>
          <w:lang w:val="es-CO"/>
        </w:rPr>
        <w:t xml:space="preserve"> los valores de</w:t>
      </w:r>
      <w:r>
        <w:rPr>
          <w:rFonts w:ascii="Times New Roman" w:hAnsi="Times New Roman" w:cs="Times New Roman"/>
          <w:sz w:val="24"/>
          <w:szCs w:val="24"/>
          <w:lang w:val="es-CO"/>
        </w:rPr>
        <w:t xml:space="preserve"> los porcentajes de</w:t>
      </w:r>
      <w:r w:rsidRPr="00011D21">
        <w:rPr>
          <w:rFonts w:ascii="Times New Roman" w:hAnsi="Times New Roman" w:cs="Times New Roman"/>
          <w:sz w:val="24"/>
          <w:szCs w:val="24"/>
          <w:lang w:val="es-CO"/>
        </w:rPr>
        <w:t xml:space="preserve"> las vacunas aplicadas para primera dosis, segunda dosis y monodosis para la vacunación contra SARS-COV-2 en las entidades territoriales de Colombia, al 5 de agosto de 2021. En ella se puede inferir que las entidades territoriales con mayor </w:t>
      </w:r>
      <w:r>
        <w:rPr>
          <w:rFonts w:ascii="Times New Roman" w:hAnsi="Times New Roman" w:cs="Times New Roman"/>
          <w:sz w:val="24"/>
          <w:szCs w:val="24"/>
          <w:lang w:val="es-CO"/>
        </w:rPr>
        <w:t>porcentaje</w:t>
      </w:r>
      <w:r w:rsidR="00B95763">
        <w:rPr>
          <w:rFonts w:ascii="Times New Roman" w:hAnsi="Times New Roman" w:cs="Times New Roman"/>
          <w:sz w:val="24"/>
          <w:szCs w:val="24"/>
          <w:lang w:val="es-CO"/>
        </w:rPr>
        <w:t xml:space="preserve"> </w:t>
      </w:r>
      <w:r>
        <w:rPr>
          <w:rFonts w:ascii="Times New Roman" w:hAnsi="Times New Roman" w:cs="Times New Roman"/>
          <w:sz w:val="24"/>
          <w:szCs w:val="24"/>
          <w:lang w:val="es-CO"/>
        </w:rPr>
        <w:t>de</w:t>
      </w:r>
      <w:r w:rsidRPr="00011D21">
        <w:rPr>
          <w:rFonts w:ascii="Times New Roman" w:hAnsi="Times New Roman" w:cs="Times New Roman"/>
          <w:sz w:val="24"/>
          <w:szCs w:val="24"/>
          <w:lang w:val="es-CO"/>
        </w:rPr>
        <w:t xml:space="preserve"> vacunas aplicadas</w:t>
      </w:r>
      <w:r>
        <w:rPr>
          <w:rFonts w:ascii="Times New Roman" w:hAnsi="Times New Roman" w:cs="Times New Roman"/>
          <w:sz w:val="24"/>
          <w:szCs w:val="24"/>
          <w:lang w:val="es-CO"/>
        </w:rPr>
        <w:t xml:space="preserve"> para primera dosis</w:t>
      </w:r>
      <w:r w:rsidRPr="00011D21">
        <w:rPr>
          <w:rFonts w:ascii="Times New Roman" w:hAnsi="Times New Roman" w:cs="Times New Roman"/>
          <w:sz w:val="24"/>
          <w:szCs w:val="24"/>
          <w:lang w:val="es-CO"/>
        </w:rPr>
        <w:t xml:space="preserve"> están: </w:t>
      </w:r>
      <w:r>
        <w:rPr>
          <w:rFonts w:ascii="Times New Roman" w:hAnsi="Times New Roman" w:cs="Times New Roman"/>
          <w:sz w:val="24"/>
          <w:szCs w:val="24"/>
          <w:lang w:val="es-CO"/>
        </w:rPr>
        <w:t>San Andrés y Providencia (87), Valle (56,75), Atlántico (56,75)</w:t>
      </w:r>
      <w:r w:rsidRPr="00011D21">
        <w:rPr>
          <w:rFonts w:ascii="Times New Roman" w:hAnsi="Times New Roman" w:cs="Times New Roman"/>
          <w:sz w:val="24"/>
          <w:szCs w:val="24"/>
          <w:lang w:val="es-CO"/>
        </w:rPr>
        <w:t>,</w:t>
      </w:r>
      <w:r>
        <w:rPr>
          <w:rFonts w:ascii="Times New Roman" w:hAnsi="Times New Roman" w:cs="Times New Roman"/>
          <w:sz w:val="24"/>
          <w:szCs w:val="24"/>
          <w:lang w:val="es-CO"/>
        </w:rPr>
        <w:t xml:space="preserve"> Caldas (56,72), </w:t>
      </w:r>
      <w:r w:rsidR="004633E6">
        <w:rPr>
          <w:rFonts w:ascii="Times New Roman" w:hAnsi="Times New Roman" w:cs="Times New Roman"/>
          <w:sz w:val="24"/>
          <w:szCs w:val="24"/>
          <w:lang w:val="es-CO"/>
        </w:rPr>
        <w:t>y Vaupés</w:t>
      </w:r>
      <w:r>
        <w:rPr>
          <w:rFonts w:ascii="Times New Roman" w:hAnsi="Times New Roman" w:cs="Times New Roman"/>
          <w:sz w:val="24"/>
          <w:szCs w:val="24"/>
          <w:lang w:val="es-CO"/>
        </w:rPr>
        <w:t xml:space="preserve"> (56)</w:t>
      </w:r>
      <w:r w:rsidRPr="00011D21">
        <w:rPr>
          <w:rFonts w:ascii="Times New Roman" w:hAnsi="Times New Roman" w:cs="Times New Roman"/>
          <w:sz w:val="24"/>
          <w:szCs w:val="24"/>
          <w:lang w:val="es-CO"/>
        </w:rPr>
        <w:t xml:space="preserve"> y las entidades territoriales con m</w:t>
      </w:r>
      <w:r>
        <w:rPr>
          <w:rFonts w:ascii="Times New Roman" w:hAnsi="Times New Roman" w:cs="Times New Roman"/>
          <w:sz w:val="24"/>
          <w:szCs w:val="24"/>
          <w:lang w:val="es-CO"/>
        </w:rPr>
        <w:t>ayor</w:t>
      </w:r>
      <w:r w:rsidRPr="00011D21">
        <w:rPr>
          <w:rFonts w:ascii="Times New Roman" w:hAnsi="Times New Roman" w:cs="Times New Roman"/>
          <w:sz w:val="24"/>
          <w:szCs w:val="24"/>
          <w:lang w:val="es-CO"/>
        </w:rPr>
        <w:t xml:space="preserve"> </w:t>
      </w:r>
      <w:r>
        <w:rPr>
          <w:rFonts w:ascii="Times New Roman" w:hAnsi="Times New Roman" w:cs="Times New Roman"/>
          <w:sz w:val="24"/>
          <w:szCs w:val="24"/>
          <w:lang w:val="es-CO"/>
        </w:rPr>
        <w:t xml:space="preserve">porcentaje de </w:t>
      </w:r>
      <w:r w:rsidRPr="00011D21">
        <w:rPr>
          <w:rFonts w:ascii="Times New Roman" w:hAnsi="Times New Roman" w:cs="Times New Roman"/>
          <w:sz w:val="24"/>
          <w:szCs w:val="24"/>
          <w:lang w:val="es-CO"/>
        </w:rPr>
        <w:t xml:space="preserve">vacunas </w:t>
      </w:r>
      <w:r>
        <w:rPr>
          <w:rFonts w:ascii="Times New Roman" w:hAnsi="Times New Roman" w:cs="Times New Roman"/>
          <w:sz w:val="24"/>
          <w:szCs w:val="24"/>
          <w:lang w:val="es-CO"/>
        </w:rPr>
        <w:t>para segunda dosis</w:t>
      </w:r>
      <w:r w:rsidRPr="00011D21">
        <w:rPr>
          <w:rFonts w:ascii="Times New Roman" w:hAnsi="Times New Roman" w:cs="Times New Roman"/>
          <w:sz w:val="24"/>
          <w:szCs w:val="24"/>
          <w:lang w:val="es-CO"/>
        </w:rPr>
        <w:t xml:space="preserve"> están: Guainía (</w:t>
      </w:r>
      <w:r w:rsidR="00B95763">
        <w:rPr>
          <w:rFonts w:ascii="Times New Roman" w:hAnsi="Times New Roman" w:cs="Times New Roman"/>
          <w:sz w:val="24"/>
          <w:szCs w:val="24"/>
          <w:lang w:val="es-CO"/>
        </w:rPr>
        <w:t>43,6</w:t>
      </w:r>
      <w:r w:rsidRPr="00011D21">
        <w:rPr>
          <w:rFonts w:ascii="Times New Roman" w:hAnsi="Times New Roman" w:cs="Times New Roman"/>
          <w:sz w:val="24"/>
          <w:szCs w:val="24"/>
          <w:lang w:val="es-CO"/>
        </w:rPr>
        <w:t xml:space="preserve">), </w:t>
      </w:r>
      <w:r w:rsidR="00B95763">
        <w:rPr>
          <w:rFonts w:ascii="Times New Roman" w:hAnsi="Times New Roman" w:cs="Times New Roman"/>
          <w:sz w:val="24"/>
          <w:szCs w:val="24"/>
          <w:lang w:val="es-CO"/>
        </w:rPr>
        <w:t xml:space="preserve">Risaralda (40,73), </w:t>
      </w:r>
      <w:r w:rsidR="004633E6">
        <w:rPr>
          <w:rFonts w:ascii="Times New Roman" w:hAnsi="Times New Roman" w:cs="Times New Roman"/>
          <w:sz w:val="24"/>
          <w:szCs w:val="24"/>
          <w:lang w:val="es-CO"/>
        </w:rPr>
        <w:t>Santa Marta (40,15), Barranquilla (39,36), y Cartagena (39,35). L</w:t>
      </w:r>
      <w:r w:rsidR="004633E6" w:rsidRPr="00011D21">
        <w:rPr>
          <w:rFonts w:ascii="Times New Roman" w:hAnsi="Times New Roman" w:cs="Times New Roman"/>
          <w:sz w:val="24"/>
          <w:szCs w:val="24"/>
          <w:lang w:val="es-CO"/>
        </w:rPr>
        <w:t>as entidades territoriales con m</w:t>
      </w:r>
      <w:r w:rsidR="004633E6">
        <w:rPr>
          <w:rFonts w:ascii="Times New Roman" w:hAnsi="Times New Roman" w:cs="Times New Roman"/>
          <w:sz w:val="24"/>
          <w:szCs w:val="24"/>
          <w:lang w:val="es-CO"/>
        </w:rPr>
        <w:t>ayor</w:t>
      </w:r>
      <w:r w:rsidR="004633E6" w:rsidRPr="00011D21">
        <w:rPr>
          <w:rFonts w:ascii="Times New Roman" w:hAnsi="Times New Roman" w:cs="Times New Roman"/>
          <w:sz w:val="24"/>
          <w:szCs w:val="24"/>
          <w:lang w:val="es-CO"/>
        </w:rPr>
        <w:t xml:space="preserve"> </w:t>
      </w:r>
      <w:r w:rsidR="004633E6">
        <w:rPr>
          <w:rFonts w:ascii="Times New Roman" w:hAnsi="Times New Roman" w:cs="Times New Roman"/>
          <w:sz w:val="24"/>
          <w:szCs w:val="24"/>
          <w:lang w:val="es-CO"/>
        </w:rPr>
        <w:t xml:space="preserve">porcentaje de </w:t>
      </w:r>
      <w:r w:rsidR="004633E6" w:rsidRPr="00011D21">
        <w:rPr>
          <w:rFonts w:ascii="Times New Roman" w:hAnsi="Times New Roman" w:cs="Times New Roman"/>
          <w:sz w:val="24"/>
          <w:szCs w:val="24"/>
          <w:lang w:val="es-CO"/>
        </w:rPr>
        <w:t xml:space="preserve">vacunas </w:t>
      </w:r>
      <w:r w:rsidR="004633E6">
        <w:rPr>
          <w:rFonts w:ascii="Times New Roman" w:hAnsi="Times New Roman" w:cs="Times New Roman"/>
          <w:sz w:val="24"/>
          <w:szCs w:val="24"/>
          <w:lang w:val="es-CO"/>
        </w:rPr>
        <w:t>para monodosis</w:t>
      </w:r>
      <w:r w:rsidR="004633E6" w:rsidRPr="00011D21">
        <w:rPr>
          <w:rFonts w:ascii="Times New Roman" w:hAnsi="Times New Roman" w:cs="Times New Roman"/>
          <w:sz w:val="24"/>
          <w:szCs w:val="24"/>
          <w:lang w:val="es-CO"/>
        </w:rPr>
        <w:t xml:space="preserve"> están: Gua</w:t>
      </w:r>
      <w:r w:rsidR="002F4770">
        <w:rPr>
          <w:rFonts w:ascii="Times New Roman" w:hAnsi="Times New Roman" w:cs="Times New Roman"/>
          <w:sz w:val="24"/>
          <w:szCs w:val="24"/>
          <w:lang w:val="es-CO"/>
        </w:rPr>
        <w:t>viare</w:t>
      </w:r>
      <w:r w:rsidR="004633E6" w:rsidRPr="00011D21">
        <w:rPr>
          <w:rFonts w:ascii="Times New Roman" w:hAnsi="Times New Roman" w:cs="Times New Roman"/>
          <w:sz w:val="24"/>
          <w:szCs w:val="24"/>
          <w:lang w:val="es-CO"/>
        </w:rPr>
        <w:t xml:space="preserve"> (</w:t>
      </w:r>
      <w:r w:rsidR="002F4770">
        <w:rPr>
          <w:rFonts w:ascii="Times New Roman" w:hAnsi="Times New Roman" w:cs="Times New Roman"/>
          <w:sz w:val="24"/>
          <w:szCs w:val="24"/>
          <w:lang w:val="es-CO"/>
        </w:rPr>
        <w:t>27,54</w:t>
      </w:r>
      <w:r w:rsidR="004633E6" w:rsidRPr="00011D21">
        <w:rPr>
          <w:rFonts w:ascii="Times New Roman" w:hAnsi="Times New Roman" w:cs="Times New Roman"/>
          <w:sz w:val="24"/>
          <w:szCs w:val="24"/>
          <w:lang w:val="es-CO"/>
        </w:rPr>
        <w:t xml:space="preserve">), </w:t>
      </w:r>
      <w:r w:rsidR="002F4770">
        <w:rPr>
          <w:rFonts w:ascii="Times New Roman" w:hAnsi="Times New Roman" w:cs="Times New Roman"/>
          <w:sz w:val="24"/>
          <w:szCs w:val="24"/>
          <w:lang w:val="es-CO"/>
        </w:rPr>
        <w:t>La Guajira</w:t>
      </w:r>
      <w:r w:rsidR="004633E6">
        <w:rPr>
          <w:rFonts w:ascii="Times New Roman" w:hAnsi="Times New Roman" w:cs="Times New Roman"/>
          <w:sz w:val="24"/>
          <w:szCs w:val="24"/>
          <w:lang w:val="es-CO"/>
        </w:rPr>
        <w:t xml:space="preserve"> (</w:t>
      </w:r>
      <w:r w:rsidR="002F4770">
        <w:rPr>
          <w:rFonts w:ascii="Times New Roman" w:hAnsi="Times New Roman" w:cs="Times New Roman"/>
          <w:sz w:val="24"/>
          <w:szCs w:val="24"/>
          <w:lang w:val="es-CO"/>
        </w:rPr>
        <w:t>24,45</w:t>
      </w:r>
      <w:r w:rsidR="004633E6">
        <w:rPr>
          <w:rFonts w:ascii="Times New Roman" w:hAnsi="Times New Roman" w:cs="Times New Roman"/>
          <w:sz w:val="24"/>
          <w:szCs w:val="24"/>
          <w:lang w:val="es-CO"/>
        </w:rPr>
        <w:t xml:space="preserve">), </w:t>
      </w:r>
      <w:r w:rsidR="002F4770">
        <w:rPr>
          <w:rFonts w:ascii="Times New Roman" w:hAnsi="Times New Roman" w:cs="Times New Roman"/>
          <w:sz w:val="24"/>
          <w:szCs w:val="24"/>
          <w:lang w:val="es-CO"/>
        </w:rPr>
        <w:t>Putumayo</w:t>
      </w:r>
      <w:r w:rsidR="004633E6">
        <w:rPr>
          <w:rFonts w:ascii="Times New Roman" w:hAnsi="Times New Roman" w:cs="Times New Roman"/>
          <w:sz w:val="24"/>
          <w:szCs w:val="24"/>
          <w:lang w:val="es-CO"/>
        </w:rPr>
        <w:t xml:space="preserve"> (</w:t>
      </w:r>
      <w:r w:rsidR="002F4770">
        <w:rPr>
          <w:rFonts w:ascii="Times New Roman" w:hAnsi="Times New Roman" w:cs="Times New Roman"/>
          <w:sz w:val="24"/>
          <w:szCs w:val="24"/>
          <w:lang w:val="es-CO"/>
        </w:rPr>
        <w:t>23,52</w:t>
      </w:r>
      <w:r w:rsidR="004633E6">
        <w:rPr>
          <w:rFonts w:ascii="Times New Roman" w:hAnsi="Times New Roman" w:cs="Times New Roman"/>
          <w:sz w:val="24"/>
          <w:szCs w:val="24"/>
          <w:lang w:val="es-CO"/>
        </w:rPr>
        <w:t xml:space="preserve">), </w:t>
      </w:r>
      <w:r w:rsidR="002F4770">
        <w:rPr>
          <w:rFonts w:ascii="Times New Roman" w:hAnsi="Times New Roman" w:cs="Times New Roman"/>
          <w:sz w:val="24"/>
          <w:szCs w:val="24"/>
          <w:lang w:val="es-CO"/>
        </w:rPr>
        <w:t>Chocó</w:t>
      </w:r>
      <w:r w:rsidR="004633E6">
        <w:rPr>
          <w:rFonts w:ascii="Times New Roman" w:hAnsi="Times New Roman" w:cs="Times New Roman"/>
          <w:sz w:val="24"/>
          <w:szCs w:val="24"/>
          <w:lang w:val="es-CO"/>
        </w:rPr>
        <w:t xml:space="preserve"> (</w:t>
      </w:r>
      <w:r w:rsidR="002F4770">
        <w:rPr>
          <w:rFonts w:ascii="Times New Roman" w:hAnsi="Times New Roman" w:cs="Times New Roman"/>
          <w:sz w:val="24"/>
          <w:szCs w:val="24"/>
          <w:lang w:val="es-CO"/>
        </w:rPr>
        <w:t>22,63</w:t>
      </w:r>
      <w:r w:rsidR="004633E6">
        <w:rPr>
          <w:rFonts w:ascii="Times New Roman" w:hAnsi="Times New Roman" w:cs="Times New Roman"/>
          <w:sz w:val="24"/>
          <w:szCs w:val="24"/>
          <w:lang w:val="es-CO"/>
        </w:rPr>
        <w:t xml:space="preserve">), y </w:t>
      </w:r>
      <w:r w:rsidR="002F4770">
        <w:rPr>
          <w:rFonts w:ascii="Times New Roman" w:hAnsi="Times New Roman" w:cs="Times New Roman"/>
          <w:sz w:val="24"/>
          <w:szCs w:val="24"/>
          <w:lang w:val="es-CO"/>
        </w:rPr>
        <w:t xml:space="preserve">Buenaventura </w:t>
      </w:r>
      <w:r w:rsidR="004633E6">
        <w:rPr>
          <w:rFonts w:ascii="Times New Roman" w:hAnsi="Times New Roman" w:cs="Times New Roman"/>
          <w:sz w:val="24"/>
          <w:szCs w:val="24"/>
          <w:lang w:val="es-CO"/>
        </w:rPr>
        <w:t>(</w:t>
      </w:r>
      <w:r w:rsidR="002F4770">
        <w:rPr>
          <w:rFonts w:ascii="Times New Roman" w:hAnsi="Times New Roman" w:cs="Times New Roman"/>
          <w:sz w:val="24"/>
          <w:szCs w:val="24"/>
          <w:lang w:val="es-CO"/>
        </w:rPr>
        <w:t>1</w:t>
      </w:r>
      <w:r w:rsidR="004633E6">
        <w:rPr>
          <w:rFonts w:ascii="Times New Roman" w:hAnsi="Times New Roman" w:cs="Times New Roman"/>
          <w:sz w:val="24"/>
          <w:szCs w:val="24"/>
          <w:lang w:val="es-CO"/>
        </w:rPr>
        <w:t>9,</w:t>
      </w:r>
      <w:r w:rsidR="002F4770">
        <w:rPr>
          <w:rFonts w:ascii="Times New Roman" w:hAnsi="Times New Roman" w:cs="Times New Roman"/>
          <w:sz w:val="24"/>
          <w:szCs w:val="24"/>
          <w:lang w:val="es-CO"/>
        </w:rPr>
        <w:t>27</w:t>
      </w:r>
      <w:r w:rsidR="004633E6">
        <w:rPr>
          <w:rFonts w:ascii="Times New Roman" w:hAnsi="Times New Roman" w:cs="Times New Roman"/>
          <w:sz w:val="24"/>
          <w:szCs w:val="24"/>
          <w:lang w:val="es-CO"/>
        </w:rPr>
        <w:t xml:space="preserve">). </w:t>
      </w:r>
    </w:p>
    <w:p w14:paraId="07B602D4" w14:textId="2FA26693" w:rsidR="00076632" w:rsidRPr="00011D21" w:rsidRDefault="00076632" w:rsidP="00076632">
      <w:pPr>
        <w:spacing w:line="360" w:lineRule="auto"/>
        <w:jc w:val="both"/>
        <w:rPr>
          <w:rFonts w:ascii="Times New Roman" w:hAnsi="Times New Roman" w:cs="Times New Roman"/>
          <w:sz w:val="24"/>
          <w:szCs w:val="24"/>
          <w:lang w:val="es-CO"/>
        </w:rPr>
      </w:pPr>
    </w:p>
    <w:p w14:paraId="08B67742" w14:textId="48454F22" w:rsidR="000012BD" w:rsidRDefault="00076632" w:rsidP="00E1496D">
      <w:pPr>
        <w:pStyle w:val="Ttulo2"/>
        <w:rPr>
          <w:rFonts w:ascii="Times New Roman" w:hAnsi="Times New Roman" w:cs="Times New Roman"/>
          <w:b/>
          <w:bCs/>
          <w:color w:val="auto"/>
          <w:sz w:val="24"/>
          <w:szCs w:val="24"/>
        </w:rPr>
      </w:pPr>
      <w:r>
        <w:rPr>
          <w:noProof/>
        </w:rPr>
        <w:drawing>
          <wp:inline distT="0" distB="0" distL="0" distR="0" wp14:anchorId="25F9B65A" wp14:editId="67685052">
            <wp:extent cx="5612130" cy="3745149"/>
            <wp:effectExtent l="0" t="0" r="7620" b="8255"/>
            <wp:docPr id="3" name="Gráfico 3">
              <a:extLst xmlns:a="http://schemas.openxmlformats.org/drawingml/2006/main">
                <a:ext uri="{FF2B5EF4-FFF2-40B4-BE49-F238E27FC236}">
                  <a16:creationId xmlns:a16="http://schemas.microsoft.com/office/drawing/2014/main" id="{6F4F92F4-08E9-4F76-9CF9-A9183F285E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773A046" w14:textId="77777777" w:rsidR="00FB68E4" w:rsidRDefault="000012BD" w:rsidP="00FB68E4">
      <w:pPr>
        <w:pStyle w:val="Textoindependiente"/>
        <w:spacing w:line="360" w:lineRule="auto"/>
        <w:jc w:val="center"/>
        <w:rPr>
          <w:rFonts w:ascii="Times New Roman" w:hAnsi="Times New Roman" w:cs="Times New Roman"/>
          <w:sz w:val="20"/>
          <w:szCs w:val="20"/>
        </w:rPr>
      </w:pPr>
      <w:r w:rsidRPr="00831365">
        <w:rPr>
          <w:rFonts w:ascii="Times New Roman" w:hAnsi="Times New Roman" w:cs="Times New Roman"/>
          <w:b/>
          <w:bCs/>
          <w:sz w:val="20"/>
          <w:szCs w:val="20"/>
        </w:rPr>
        <w:t>Figura</w:t>
      </w:r>
      <w:r>
        <w:rPr>
          <w:rFonts w:ascii="Times New Roman" w:hAnsi="Times New Roman" w:cs="Times New Roman"/>
          <w:b/>
          <w:bCs/>
          <w:sz w:val="20"/>
          <w:szCs w:val="20"/>
        </w:rPr>
        <w:t xml:space="preserve"> 2. </w:t>
      </w:r>
      <w:r w:rsidR="00076632">
        <w:rPr>
          <w:rFonts w:ascii="Times New Roman" w:hAnsi="Times New Roman" w:cs="Times New Roman"/>
          <w:sz w:val="20"/>
          <w:szCs w:val="20"/>
        </w:rPr>
        <w:t xml:space="preserve">Porcentajes </w:t>
      </w:r>
      <w:r w:rsidR="00076632" w:rsidRPr="00DF666E">
        <w:rPr>
          <w:rFonts w:ascii="Times New Roman" w:hAnsi="Times New Roman" w:cs="Times New Roman"/>
          <w:sz w:val="20"/>
          <w:szCs w:val="20"/>
        </w:rPr>
        <w:t>por</w:t>
      </w:r>
      <w:r>
        <w:rPr>
          <w:rFonts w:ascii="Times New Roman" w:hAnsi="Times New Roman" w:cs="Times New Roman"/>
          <w:sz w:val="20"/>
          <w:szCs w:val="20"/>
        </w:rPr>
        <w:t xml:space="preserve"> </w:t>
      </w:r>
      <w:r w:rsidR="00E13420">
        <w:rPr>
          <w:rFonts w:ascii="Times New Roman" w:hAnsi="Times New Roman" w:cs="Times New Roman"/>
          <w:sz w:val="20"/>
          <w:szCs w:val="20"/>
        </w:rPr>
        <w:t>dosis aplicadas</w:t>
      </w:r>
      <w:r>
        <w:rPr>
          <w:rFonts w:ascii="Times New Roman" w:hAnsi="Times New Roman" w:cs="Times New Roman"/>
          <w:sz w:val="20"/>
          <w:szCs w:val="20"/>
        </w:rPr>
        <w:t xml:space="preserve"> por entidad territorial. </w:t>
      </w:r>
      <w:r w:rsidRPr="00C37B1F">
        <w:rPr>
          <w:rFonts w:ascii="Times New Roman" w:hAnsi="Times New Roman" w:cs="Times New Roman"/>
          <w:b/>
          <w:bCs/>
          <w:sz w:val="20"/>
          <w:szCs w:val="20"/>
        </w:rPr>
        <w:t>Fuente</w:t>
      </w:r>
      <w:r>
        <w:rPr>
          <w:rFonts w:ascii="Times New Roman" w:hAnsi="Times New Roman" w:cs="Times New Roman"/>
          <w:sz w:val="20"/>
          <w:szCs w:val="20"/>
        </w:rPr>
        <w:t>: el autor</w:t>
      </w:r>
    </w:p>
    <w:p w14:paraId="0272DD9F" w14:textId="29247A46" w:rsidR="000012BD" w:rsidRPr="00372D80" w:rsidRDefault="007A3EAF" w:rsidP="00FB68E4">
      <w:pPr>
        <w:pStyle w:val="Textoindependiente"/>
        <w:spacing w:line="360" w:lineRule="auto"/>
        <w:jc w:val="both"/>
        <w:rPr>
          <w:rFonts w:ascii="Times New Roman" w:hAnsi="Times New Roman" w:cs="Times New Roman"/>
          <w:sz w:val="24"/>
          <w:szCs w:val="24"/>
        </w:rPr>
      </w:pPr>
      <w:r w:rsidRPr="00372D80">
        <w:rPr>
          <w:rFonts w:ascii="Times New Roman" w:hAnsi="Times New Roman" w:cs="Times New Roman"/>
          <w:sz w:val="24"/>
          <w:szCs w:val="24"/>
        </w:rPr>
        <w:t xml:space="preserve">En la </w:t>
      </w:r>
      <w:r w:rsidRPr="00372D80">
        <w:rPr>
          <w:rFonts w:ascii="Times New Roman" w:hAnsi="Times New Roman" w:cs="Times New Roman"/>
          <w:b/>
          <w:sz w:val="24"/>
          <w:szCs w:val="24"/>
        </w:rPr>
        <w:t>figura 3</w:t>
      </w:r>
      <w:r w:rsidRPr="00372D80">
        <w:rPr>
          <w:rFonts w:ascii="Times New Roman" w:hAnsi="Times New Roman" w:cs="Times New Roman"/>
          <w:sz w:val="24"/>
          <w:szCs w:val="24"/>
        </w:rPr>
        <w:t xml:space="preserve"> </w:t>
      </w:r>
      <w:r w:rsidR="00266322" w:rsidRPr="00372D80">
        <w:rPr>
          <w:rFonts w:ascii="Times New Roman" w:hAnsi="Times New Roman" w:cs="Times New Roman"/>
          <w:sz w:val="24"/>
          <w:szCs w:val="24"/>
        </w:rPr>
        <w:t>obtenemos</w:t>
      </w:r>
      <w:r w:rsidRPr="00372D80">
        <w:rPr>
          <w:rFonts w:ascii="Times New Roman" w:hAnsi="Times New Roman" w:cs="Times New Roman"/>
          <w:sz w:val="24"/>
          <w:szCs w:val="24"/>
        </w:rPr>
        <w:t xml:space="preserve"> apreciar los valores de los esquemas completos por sexo en las diferentes entidades territoriales de Colombia, al 21 de agosto de 2021. En ella se puede inferir que las entidades territoriales con mayor número esquemas completos por sexo están: Bogotá, Antioquia, Valle del Cauca, Cundinamarca, y Santander, y las entidades territoriales con menor número esquemas completos por sexo están: Vaupés, Vichada, Guainía, Guaviare, y Amazonas.</w:t>
      </w:r>
    </w:p>
    <w:p w14:paraId="3D0E5992" w14:textId="3C5B30F6" w:rsidR="007A3EAF" w:rsidRDefault="007A3EAF" w:rsidP="007A3EAF">
      <w:pPr>
        <w:rPr>
          <w:lang w:val="es-CO"/>
        </w:rPr>
      </w:pPr>
      <w:r>
        <w:rPr>
          <w:noProof/>
        </w:rPr>
        <w:drawing>
          <wp:inline distT="0" distB="0" distL="0" distR="0" wp14:anchorId="0A280188" wp14:editId="54BFE228">
            <wp:extent cx="5612130" cy="6181725"/>
            <wp:effectExtent l="0" t="0" r="7620" b="9525"/>
            <wp:docPr id="2" name="Gráfico 2">
              <a:extLst xmlns:a="http://schemas.openxmlformats.org/drawingml/2006/main">
                <a:ext uri="{FF2B5EF4-FFF2-40B4-BE49-F238E27FC236}">
                  <a16:creationId xmlns:a16="http://schemas.microsoft.com/office/drawing/2014/main" id="{546BAA29-761C-4BE9-B7CE-EE75A542E7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6CE5AAF" w14:textId="6B71E6DC" w:rsidR="007A3EAF" w:rsidRPr="00831365" w:rsidRDefault="007A3EAF" w:rsidP="007A3EAF">
      <w:pPr>
        <w:pStyle w:val="Textoindependiente"/>
        <w:spacing w:line="360" w:lineRule="auto"/>
        <w:jc w:val="center"/>
        <w:rPr>
          <w:rFonts w:ascii="Times New Roman" w:hAnsi="Times New Roman" w:cs="Times New Roman"/>
          <w:sz w:val="20"/>
          <w:szCs w:val="20"/>
        </w:rPr>
      </w:pPr>
      <w:r w:rsidRPr="00831365">
        <w:rPr>
          <w:rFonts w:ascii="Times New Roman" w:hAnsi="Times New Roman" w:cs="Times New Roman"/>
          <w:b/>
          <w:bCs/>
          <w:sz w:val="20"/>
          <w:szCs w:val="20"/>
        </w:rPr>
        <w:t xml:space="preserve">Figura </w:t>
      </w:r>
      <w:r>
        <w:rPr>
          <w:rFonts w:ascii="Times New Roman" w:hAnsi="Times New Roman" w:cs="Times New Roman"/>
          <w:b/>
          <w:bCs/>
          <w:sz w:val="20"/>
          <w:szCs w:val="20"/>
        </w:rPr>
        <w:t xml:space="preserve">3. </w:t>
      </w:r>
      <w:r>
        <w:rPr>
          <w:rFonts w:ascii="Times New Roman" w:hAnsi="Times New Roman" w:cs="Times New Roman"/>
          <w:sz w:val="20"/>
          <w:szCs w:val="20"/>
        </w:rPr>
        <w:t xml:space="preserve">Esquemas completos de vacunación por sexo por entidad territorial. </w:t>
      </w:r>
      <w:r w:rsidRPr="00C37B1F">
        <w:rPr>
          <w:rFonts w:ascii="Times New Roman" w:hAnsi="Times New Roman" w:cs="Times New Roman"/>
          <w:b/>
          <w:bCs/>
          <w:sz w:val="20"/>
          <w:szCs w:val="20"/>
        </w:rPr>
        <w:t>Fuente</w:t>
      </w:r>
      <w:r>
        <w:rPr>
          <w:rFonts w:ascii="Times New Roman" w:hAnsi="Times New Roman" w:cs="Times New Roman"/>
          <w:sz w:val="20"/>
          <w:szCs w:val="20"/>
        </w:rPr>
        <w:t>: el autor</w:t>
      </w:r>
    </w:p>
    <w:p w14:paraId="01AB90EF" w14:textId="379A6824" w:rsidR="00552FB9" w:rsidRPr="00D72FFA" w:rsidRDefault="00552FB9" w:rsidP="00552FB9">
      <w:pPr>
        <w:spacing w:line="360" w:lineRule="auto"/>
        <w:jc w:val="both"/>
        <w:rPr>
          <w:rFonts w:ascii="Times New Roman" w:eastAsia="Times New Roman" w:hAnsi="Times New Roman" w:cs="Times New Roman"/>
          <w:color w:val="000000"/>
          <w:sz w:val="24"/>
          <w:szCs w:val="24"/>
          <w:lang w:val="es-CO" w:eastAsia="es-CO"/>
        </w:rPr>
      </w:pPr>
      <w:r w:rsidRPr="00D72FFA">
        <w:rPr>
          <w:rFonts w:ascii="Times New Roman" w:hAnsi="Times New Roman" w:cs="Times New Roman"/>
          <w:sz w:val="24"/>
          <w:szCs w:val="24"/>
          <w:lang w:val="es-CO"/>
        </w:rPr>
        <w:t xml:space="preserve">En la </w:t>
      </w:r>
      <w:r w:rsidRPr="00D72FFA">
        <w:rPr>
          <w:rFonts w:ascii="Times New Roman" w:hAnsi="Times New Roman" w:cs="Times New Roman"/>
          <w:b/>
          <w:sz w:val="24"/>
          <w:szCs w:val="24"/>
          <w:lang w:val="es-CO"/>
        </w:rPr>
        <w:t xml:space="preserve">figura </w:t>
      </w:r>
      <w:r>
        <w:rPr>
          <w:rFonts w:ascii="Times New Roman" w:hAnsi="Times New Roman" w:cs="Times New Roman"/>
          <w:b/>
          <w:sz w:val="24"/>
          <w:szCs w:val="24"/>
          <w:lang w:val="es-CO"/>
        </w:rPr>
        <w:t>4</w:t>
      </w:r>
      <w:r w:rsidRPr="00D72FFA">
        <w:rPr>
          <w:rFonts w:ascii="Times New Roman" w:hAnsi="Times New Roman" w:cs="Times New Roman"/>
          <w:sz w:val="24"/>
          <w:szCs w:val="24"/>
          <w:lang w:val="es-CO"/>
        </w:rPr>
        <w:t xml:space="preserve"> </w:t>
      </w:r>
      <w:r w:rsidR="00266322" w:rsidRPr="00D72FFA">
        <w:rPr>
          <w:rFonts w:ascii="Times New Roman" w:hAnsi="Times New Roman" w:cs="Times New Roman"/>
          <w:sz w:val="24"/>
          <w:szCs w:val="24"/>
          <w:lang w:val="es-CO"/>
        </w:rPr>
        <w:t>alcanzamos</w:t>
      </w:r>
      <w:r w:rsidRPr="00D72FFA">
        <w:rPr>
          <w:rFonts w:ascii="Times New Roman" w:hAnsi="Times New Roman" w:cs="Times New Roman"/>
          <w:sz w:val="24"/>
          <w:szCs w:val="24"/>
          <w:lang w:val="es-CO"/>
        </w:rPr>
        <w:t xml:space="preserve"> </w:t>
      </w:r>
      <w:r w:rsidR="00266322">
        <w:rPr>
          <w:rFonts w:ascii="Times New Roman" w:hAnsi="Times New Roman" w:cs="Times New Roman"/>
          <w:sz w:val="24"/>
          <w:szCs w:val="24"/>
          <w:lang w:val="es-CO"/>
        </w:rPr>
        <w:t xml:space="preserve">a </w:t>
      </w:r>
      <w:r w:rsidRPr="00D72FFA">
        <w:rPr>
          <w:rFonts w:ascii="Times New Roman" w:hAnsi="Times New Roman" w:cs="Times New Roman"/>
          <w:sz w:val="24"/>
          <w:szCs w:val="24"/>
          <w:lang w:val="es-CO"/>
        </w:rPr>
        <w:t xml:space="preserve">considerar los valores de las vacunas asignadas para la vacunación contra SARS-CoV-2 en las entidades territoriales de Colombia, al </w:t>
      </w:r>
      <w:r>
        <w:rPr>
          <w:rFonts w:ascii="Times New Roman" w:hAnsi="Times New Roman" w:cs="Times New Roman"/>
          <w:sz w:val="24"/>
          <w:szCs w:val="24"/>
          <w:lang w:val="es-CO"/>
        </w:rPr>
        <w:t>21</w:t>
      </w:r>
      <w:r w:rsidRPr="00D72FFA">
        <w:rPr>
          <w:rFonts w:ascii="Times New Roman" w:hAnsi="Times New Roman" w:cs="Times New Roman"/>
          <w:sz w:val="24"/>
          <w:szCs w:val="24"/>
          <w:lang w:val="es-CO"/>
        </w:rPr>
        <w:t xml:space="preserve">de agosto de 2021. En ella se puede concluir </w:t>
      </w:r>
      <w:r>
        <w:rPr>
          <w:rFonts w:ascii="Times New Roman" w:hAnsi="Times New Roman" w:cs="Times New Roman"/>
          <w:sz w:val="24"/>
          <w:szCs w:val="24"/>
          <w:lang w:val="es-CO"/>
        </w:rPr>
        <w:t>que el sexo femenino tiene mayor número de esquemas completos de vacunación contra SARS-CoV-2 con el 52%, seguido del sexo masculino con el 41% y no reportado con el 7%.</w:t>
      </w:r>
    </w:p>
    <w:p w14:paraId="2DE3E1F0" w14:textId="77777777" w:rsidR="00552FB9" w:rsidRDefault="00552FB9" w:rsidP="00552FB9">
      <w:pPr>
        <w:spacing w:after="0" w:line="360" w:lineRule="auto"/>
        <w:jc w:val="center"/>
        <w:rPr>
          <w:rFonts w:ascii="Times New Roman" w:hAnsi="Times New Roman" w:cs="Times New Roman"/>
          <w:sz w:val="24"/>
          <w:szCs w:val="24"/>
          <w:lang w:val="es-CO"/>
        </w:rPr>
      </w:pPr>
      <w:r>
        <w:rPr>
          <w:noProof/>
        </w:rPr>
        <w:drawing>
          <wp:inline distT="0" distB="0" distL="0" distR="0" wp14:anchorId="1EA9B627" wp14:editId="6FBDCB82">
            <wp:extent cx="4572000" cy="2743200"/>
            <wp:effectExtent l="0" t="0" r="0" b="0"/>
            <wp:docPr id="4" name="Gráfico 4">
              <a:extLst xmlns:a="http://schemas.openxmlformats.org/drawingml/2006/main">
                <a:ext uri="{FF2B5EF4-FFF2-40B4-BE49-F238E27FC236}">
                  <a16:creationId xmlns:a16="http://schemas.microsoft.com/office/drawing/2014/main" id="{4CA1A16F-F17E-4C63-BD46-9D4A7F1308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A5F881D" w14:textId="77777777" w:rsidR="00552FB9" w:rsidRPr="00B80D1D" w:rsidRDefault="00552FB9" w:rsidP="00552FB9">
      <w:pPr>
        <w:spacing w:after="0" w:line="360" w:lineRule="auto"/>
        <w:jc w:val="center"/>
        <w:rPr>
          <w:rFonts w:ascii="Times New Roman" w:hAnsi="Times New Roman" w:cs="Times New Roman"/>
          <w:sz w:val="24"/>
          <w:szCs w:val="24"/>
          <w:lang w:val="es-CO"/>
        </w:rPr>
      </w:pPr>
    </w:p>
    <w:p w14:paraId="5DF5756F" w14:textId="002C8332" w:rsidR="00552FB9" w:rsidRPr="00831365" w:rsidRDefault="00552FB9" w:rsidP="00552FB9">
      <w:pPr>
        <w:pStyle w:val="Textoindependiente"/>
        <w:spacing w:line="360" w:lineRule="auto"/>
        <w:jc w:val="center"/>
        <w:rPr>
          <w:rFonts w:ascii="Times New Roman" w:hAnsi="Times New Roman" w:cs="Times New Roman"/>
          <w:sz w:val="20"/>
          <w:szCs w:val="20"/>
        </w:rPr>
      </w:pPr>
      <w:r w:rsidRPr="00630DFA">
        <w:rPr>
          <w:rFonts w:ascii="Times New Roman" w:hAnsi="Times New Roman" w:cs="Times New Roman"/>
          <w:b/>
          <w:bCs/>
          <w:sz w:val="20"/>
          <w:szCs w:val="20"/>
        </w:rPr>
        <w:t xml:space="preserve">Figura </w:t>
      </w:r>
      <w:r>
        <w:rPr>
          <w:rFonts w:ascii="Times New Roman" w:hAnsi="Times New Roman" w:cs="Times New Roman"/>
          <w:b/>
          <w:bCs/>
          <w:sz w:val="20"/>
          <w:szCs w:val="20"/>
        </w:rPr>
        <w:t>4</w:t>
      </w:r>
      <w:r w:rsidRPr="00630DFA">
        <w:rPr>
          <w:rFonts w:ascii="Times New Roman" w:hAnsi="Times New Roman" w:cs="Times New Roman"/>
          <w:b/>
          <w:bCs/>
          <w:sz w:val="20"/>
          <w:szCs w:val="20"/>
        </w:rPr>
        <w:t>.</w:t>
      </w:r>
      <w:r>
        <w:rPr>
          <w:rFonts w:ascii="Times New Roman" w:hAnsi="Times New Roman" w:cs="Times New Roman"/>
          <w:b/>
          <w:bCs/>
          <w:sz w:val="20"/>
          <w:szCs w:val="20"/>
        </w:rPr>
        <w:t xml:space="preserve"> </w:t>
      </w:r>
      <w:r w:rsidR="004827B4" w:rsidRPr="0035632D">
        <w:rPr>
          <w:rFonts w:ascii="Times New Roman" w:hAnsi="Times New Roman" w:cs="Times New Roman"/>
          <w:sz w:val="20"/>
          <w:szCs w:val="20"/>
        </w:rPr>
        <w:t>Total,</w:t>
      </w:r>
      <w:r w:rsidRPr="0035632D">
        <w:rPr>
          <w:rFonts w:ascii="Times New Roman" w:hAnsi="Times New Roman" w:cs="Times New Roman"/>
          <w:sz w:val="20"/>
          <w:szCs w:val="20"/>
        </w:rPr>
        <w:t xml:space="preserve"> de esquemas completos de vacunación por sexo</w:t>
      </w:r>
      <w:r>
        <w:rPr>
          <w:rFonts w:ascii="Times New Roman" w:hAnsi="Times New Roman" w:cs="Times New Roman"/>
          <w:sz w:val="20"/>
          <w:szCs w:val="20"/>
        </w:rPr>
        <w:t xml:space="preserve">. </w:t>
      </w:r>
      <w:r w:rsidRPr="00C37B1F">
        <w:rPr>
          <w:rFonts w:ascii="Times New Roman" w:hAnsi="Times New Roman" w:cs="Times New Roman"/>
          <w:b/>
          <w:bCs/>
          <w:sz w:val="20"/>
          <w:szCs w:val="20"/>
        </w:rPr>
        <w:t>Fuente</w:t>
      </w:r>
      <w:r>
        <w:rPr>
          <w:rFonts w:ascii="Times New Roman" w:hAnsi="Times New Roman" w:cs="Times New Roman"/>
          <w:sz w:val="20"/>
          <w:szCs w:val="20"/>
        </w:rPr>
        <w:t>: el autor</w:t>
      </w:r>
    </w:p>
    <w:p w14:paraId="146A5FB3" w14:textId="48F64E22" w:rsidR="001261A3" w:rsidRPr="00B80D1D" w:rsidRDefault="001261A3" w:rsidP="001261A3">
      <w:pPr>
        <w:spacing w:after="0" w:line="360" w:lineRule="auto"/>
        <w:jc w:val="both"/>
        <w:rPr>
          <w:rFonts w:ascii="Times New Roman" w:hAnsi="Times New Roman" w:cs="Times New Roman"/>
          <w:sz w:val="24"/>
          <w:szCs w:val="24"/>
          <w:lang w:val="es-CO"/>
        </w:rPr>
      </w:pPr>
      <w:r w:rsidRPr="00B80D1D">
        <w:rPr>
          <w:rFonts w:ascii="Times New Roman" w:hAnsi="Times New Roman" w:cs="Times New Roman"/>
          <w:sz w:val="24"/>
          <w:szCs w:val="24"/>
          <w:lang w:val="es-CO"/>
        </w:rPr>
        <w:t xml:space="preserve">En la </w:t>
      </w:r>
      <w:r w:rsidRPr="00B80D1D">
        <w:rPr>
          <w:rFonts w:ascii="Times New Roman" w:hAnsi="Times New Roman" w:cs="Times New Roman"/>
          <w:b/>
          <w:sz w:val="24"/>
          <w:szCs w:val="24"/>
          <w:lang w:val="es-CO"/>
        </w:rPr>
        <w:t xml:space="preserve">figura </w:t>
      </w:r>
      <w:r>
        <w:rPr>
          <w:rFonts w:ascii="Times New Roman" w:hAnsi="Times New Roman" w:cs="Times New Roman"/>
          <w:b/>
          <w:sz w:val="24"/>
          <w:szCs w:val="24"/>
          <w:lang w:val="es-CO"/>
        </w:rPr>
        <w:t>5</w:t>
      </w:r>
      <w:r w:rsidRPr="00B80D1D">
        <w:rPr>
          <w:rFonts w:ascii="Times New Roman" w:hAnsi="Times New Roman" w:cs="Times New Roman"/>
          <w:sz w:val="24"/>
          <w:szCs w:val="24"/>
          <w:lang w:val="es-CO"/>
        </w:rPr>
        <w:t xml:space="preserve"> </w:t>
      </w:r>
      <w:r w:rsidR="00266322" w:rsidRPr="00B80D1D">
        <w:rPr>
          <w:rFonts w:ascii="Times New Roman" w:hAnsi="Times New Roman" w:cs="Times New Roman"/>
          <w:sz w:val="24"/>
          <w:szCs w:val="24"/>
          <w:lang w:val="es-CO"/>
        </w:rPr>
        <w:t>conseguimos</w:t>
      </w:r>
      <w:r w:rsidRPr="00B80D1D">
        <w:rPr>
          <w:rFonts w:ascii="Times New Roman" w:hAnsi="Times New Roman" w:cs="Times New Roman"/>
          <w:sz w:val="24"/>
          <w:szCs w:val="24"/>
          <w:lang w:val="es-CO"/>
        </w:rPr>
        <w:t xml:space="preserve"> apreciar los valores de </w:t>
      </w:r>
      <w:r>
        <w:rPr>
          <w:rFonts w:ascii="Times New Roman" w:hAnsi="Times New Roman" w:cs="Times New Roman"/>
          <w:sz w:val="24"/>
          <w:szCs w:val="24"/>
          <w:lang w:val="es-CO"/>
        </w:rPr>
        <w:t>las dosis asignadas y aplicadas para la vacunación contra SARS-COV-2</w:t>
      </w:r>
      <w:r w:rsidRPr="00B80D1D">
        <w:rPr>
          <w:rFonts w:ascii="Times New Roman" w:hAnsi="Times New Roman" w:cs="Times New Roman"/>
          <w:sz w:val="24"/>
          <w:szCs w:val="24"/>
          <w:lang w:val="es-CO"/>
        </w:rPr>
        <w:t xml:space="preserve"> en</w:t>
      </w:r>
      <w:r>
        <w:rPr>
          <w:rFonts w:ascii="Times New Roman" w:hAnsi="Times New Roman" w:cs="Times New Roman"/>
          <w:sz w:val="24"/>
          <w:szCs w:val="24"/>
          <w:lang w:val="es-CO"/>
        </w:rPr>
        <w:t xml:space="preserve"> las entidades territoriales de</w:t>
      </w:r>
      <w:r w:rsidRPr="00B80D1D">
        <w:rPr>
          <w:rFonts w:ascii="Times New Roman" w:hAnsi="Times New Roman" w:cs="Times New Roman"/>
          <w:sz w:val="24"/>
          <w:szCs w:val="24"/>
          <w:lang w:val="es-CO"/>
        </w:rPr>
        <w:t xml:space="preserve"> Colombia, a</w:t>
      </w:r>
      <w:r>
        <w:rPr>
          <w:rFonts w:ascii="Times New Roman" w:hAnsi="Times New Roman" w:cs="Times New Roman"/>
          <w:sz w:val="24"/>
          <w:szCs w:val="24"/>
          <w:lang w:val="es-CO"/>
        </w:rPr>
        <w:t>l</w:t>
      </w:r>
      <w:r w:rsidRPr="00B80D1D">
        <w:rPr>
          <w:rFonts w:ascii="Times New Roman" w:hAnsi="Times New Roman" w:cs="Times New Roman"/>
          <w:sz w:val="24"/>
          <w:szCs w:val="24"/>
          <w:lang w:val="es-CO"/>
        </w:rPr>
        <w:t xml:space="preserve"> </w:t>
      </w:r>
      <w:r>
        <w:rPr>
          <w:rFonts w:ascii="Times New Roman" w:hAnsi="Times New Roman" w:cs="Times New Roman"/>
          <w:sz w:val="24"/>
          <w:szCs w:val="24"/>
          <w:lang w:val="es-CO"/>
        </w:rPr>
        <w:t>31</w:t>
      </w:r>
      <w:r w:rsidRPr="00B80D1D">
        <w:rPr>
          <w:rFonts w:ascii="Times New Roman" w:hAnsi="Times New Roman" w:cs="Times New Roman"/>
          <w:sz w:val="24"/>
          <w:szCs w:val="24"/>
          <w:lang w:val="es-CO"/>
        </w:rPr>
        <w:t xml:space="preserve"> de ju</w:t>
      </w:r>
      <w:r>
        <w:rPr>
          <w:rFonts w:ascii="Times New Roman" w:hAnsi="Times New Roman" w:cs="Times New Roman"/>
          <w:sz w:val="24"/>
          <w:szCs w:val="24"/>
          <w:lang w:val="es-CO"/>
        </w:rPr>
        <w:t>l</w:t>
      </w:r>
      <w:r w:rsidRPr="00B80D1D">
        <w:rPr>
          <w:rFonts w:ascii="Times New Roman" w:hAnsi="Times New Roman" w:cs="Times New Roman"/>
          <w:sz w:val="24"/>
          <w:szCs w:val="24"/>
          <w:lang w:val="es-CO"/>
        </w:rPr>
        <w:t>io</w:t>
      </w:r>
      <w:r>
        <w:rPr>
          <w:rFonts w:ascii="Times New Roman" w:hAnsi="Times New Roman" w:cs="Times New Roman"/>
          <w:sz w:val="24"/>
          <w:szCs w:val="24"/>
          <w:lang w:val="es-CO"/>
        </w:rPr>
        <w:t xml:space="preserve"> de </w:t>
      </w:r>
      <w:r w:rsidRPr="00B80D1D">
        <w:rPr>
          <w:rFonts w:ascii="Times New Roman" w:hAnsi="Times New Roman" w:cs="Times New Roman"/>
          <w:sz w:val="24"/>
          <w:szCs w:val="24"/>
          <w:lang w:val="es-CO"/>
        </w:rPr>
        <w:t xml:space="preserve">2021. En ella se puede inferir que </w:t>
      </w:r>
      <w:r>
        <w:rPr>
          <w:rFonts w:ascii="Times New Roman" w:hAnsi="Times New Roman" w:cs="Times New Roman"/>
          <w:sz w:val="24"/>
          <w:szCs w:val="24"/>
          <w:lang w:val="es-CO"/>
        </w:rPr>
        <w:t xml:space="preserve">las entidades territoriales </w:t>
      </w:r>
      <w:r w:rsidRPr="00B80D1D">
        <w:rPr>
          <w:rFonts w:ascii="Times New Roman" w:hAnsi="Times New Roman" w:cs="Times New Roman"/>
          <w:sz w:val="24"/>
          <w:szCs w:val="24"/>
          <w:lang w:val="es-CO"/>
        </w:rPr>
        <w:t>con mayor número</w:t>
      </w:r>
      <w:r>
        <w:rPr>
          <w:rFonts w:ascii="Times New Roman" w:hAnsi="Times New Roman" w:cs="Times New Roman"/>
          <w:sz w:val="24"/>
          <w:szCs w:val="24"/>
          <w:lang w:val="es-CO"/>
        </w:rPr>
        <w:t xml:space="preserve"> dosis asignadas y aplicadas para la vacunación </w:t>
      </w:r>
      <w:r w:rsidRPr="00B80D1D">
        <w:rPr>
          <w:rFonts w:ascii="Times New Roman" w:hAnsi="Times New Roman" w:cs="Times New Roman"/>
          <w:sz w:val="24"/>
          <w:szCs w:val="24"/>
          <w:lang w:val="es-CO"/>
        </w:rPr>
        <w:t>son: Bogotá (</w:t>
      </w:r>
      <w:r>
        <w:rPr>
          <w:rFonts w:ascii="Times New Roman" w:hAnsi="Times New Roman" w:cs="Times New Roman"/>
          <w:sz w:val="24"/>
          <w:szCs w:val="24"/>
          <w:lang w:val="es-CO"/>
        </w:rPr>
        <w:t>5’992.</w:t>
      </w:r>
      <w:r w:rsidRPr="00070088">
        <w:rPr>
          <w:rFonts w:ascii="Times New Roman" w:hAnsi="Times New Roman" w:cs="Times New Roman"/>
          <w:sz w:val="24"/>
          <w:szCs w:val="24"/>
          <w:lang w:val="es-CO"/>
        </w:rPr>
        <w:t>3</w:t>
      </w:r>
      <w:r>
        <w:rPr>
          <w:rFonts w:ascii="Times New Roman" w:hAnsi="Times New Roman" w:cs="Times New Roman"/>
          <w:sz w:val="24"/>
          <w:szCs w:val="24"/>
          <w:lang w:val="es-CO"/>
        </w:rPr>
        <w:t>80 y 4’966.730</w:t>
      </w:r>
      <w:r w:rsidRPr="00B80D1D">
        <w:rPr>
          <w:rFonts w:ascii="Times New Roman" w:hAnsi="Times New Roman" w:cs="Times New Roman"/>
          <w:sz w:val="24"/>
          <w:szCs w:val="24"/>
          <w:lang w:val="es-CO"/>
        </w:rPr>
        <w:t>), Antioqu</w:t>
      </w:r>
      <w:r>
        <w:rPr>
          <w:rFonts w:ascii="Times New Roman" w:hAnsi="Times New Roman" w:cs="Times New Roman"/>
          <w:sz w:val="24"/>
          <w:szCs w:val="24"/>
          <w:lang w:val="es-CO"/>
        </w:rPr>
        <w:t>i</w:t>
      </w:r>
      <w:r w:rsidRPr="00B80D1D">
        <w:rPr>
          <w:rFonts w:ascii="Times New Roman" w:hAnsi="Times New Roman" w:cs="Times New Roman"/>
          <w:sz w:val="24"/>
          <w:szCs w:val="24"/>
          <w:lang w:val="es-CO"/>
        </w:rPr>
        <w:t>a (</w:t>
      </w:r>
      <w:r>
        <w:rPr>
          <w:rFonts w:ascii="Times New Roman" w:hAnsi="Times New Roman" w:cs="Times New Roman"/>
          <w:sz w:val="24"/>
          <w:szCs w:val="24"/>
          <w:lang w:val="es-CO"/>
        </w:rPr>
        <w:t>4’802.</w:t>
      </w:r>
      <w:r w:rsidRPr="00070088">
        <w:rPr>
          <w:rFonts w:ascii="Times New Roman" w:hAnsi="Times New Roman" w:cs="Times New Roman"/>
          <w:sz w:val="24"/>
          <w:szCs w:val="24"/>
          <w:lang w:val="es-CO"/>
        </w:rPr>
        <w:t>1</w:t>
      </w:r>
      <w:r>
        <w:rPr>
          <w:rFonts w:ascii="Times New Roman" w:hAnsi="Times New Roman" w:cs="Times New Roman"/>
          <w:sz w:val="24"/>
          <w:szCs w:val="24"/>
          <w:lang w:val="es-CO"/>
        </w:rPr>
        <w:t>93 y 4’024.279</w:t>
      </w:r>
      <w:r w:rsidRPr="00B80D1D">
        <w:rPr>
          <w:rFonts w:ascii="Times New Roman" w:hAnsi="Times New Roman" w:cs="Times New Roman"/>
          <w:sz w:val="24"/>
          <w:szCs w:val="24"/>
          <w:lang w:val="es-CO"/>
        </w:rPr>
        <w:t>),</w:t>
      </w:r>
      <w:r>
        <w:rPr>
          <w:rFonts w:ascii="Times New Roman" w:hAnsi="Times New Roman" w:cs="Times New Roman"/>
          <w:sz w:val="24"/>
          <w:szCs w:val="24"/>
          <w:lang w:val="es-CO"/>
        </w:rPr>
        <w:t xml:space="preserve"> </w:t>
      </w:r>
      <w:r w:rsidRPr="00B80D1D">
        <w:rPr>
          <w:rFonts w:ascii="Times New Roman" w:hAnsi="Times New Roman" w:cs="Times New Roman"/>
          <w:sz w:val="24"/>
          <w:szCs w:val="24"/>
          <w:lang w:val="es-CO"/>
        </w:rPr>
        <w:t>Valle del Cauca (</w:t>
      </w:r>
      <w:r>
        <w:rPr>
          <w:rFonts w:ascii="Times New Roman" w:hAnsi="Times New Roman" w:cs="Times New Roman"/>
          <w:sz w:val="24"/>
          <w:szCs w:val="24"/>
          <w:lang w:val="es-CO"/>
        </w:rPr>
        <w:t>2’839.445</w:t>
      </w:r>
      <w:r w:rsidRPr="00B80D1D">
        <w:rPr>
          <w:rFonts w:ascii="Times New Roman" w:hAnsi="Times New Roman" w:cs="Times New Roman"/>
          <w:sz w:val="24"/>
          <w:szCs w:val="24"/>
          <w:lang w:val="es-CO"/>
        </w:rPr>
        <w:t>), Cundinamarca (</w:t>
      </w:r>
      <w:r w:rsidRPr="00070088">
        <w:rPr>
          <w:rFonts w:ascii="Times New Roman" w:hAnsi="Times New Roman" w:cs="Times New Roman"/>
          <w:sz w:val="24"/>
          <w:szCs w:val="24"/>
          <w:lang w:val="es-CO"/>
        </w:rPr>
        <w:t>1</w:t>
      </w:r>
      <w:r>
        <w:rPr>
          <w:rFonts w:ascii="Times New Roman" w:hAnsi="Times New Roman" w:cs="Times New Roman"/>
          <w:sz w:val="24"/>
          <w:szCs w:val="24"/>
          <w:lang w:val="es-CO"/>
        </w:rPr>
        <w:t>’942.</w:t>
      </w:r>
      <w:r w:rsidRPr="00070088">
        <w:rPr>
          <w:rFonts w:ascii="Times New Roman" w:hAnsi="Times New Roman" w:cs="Times New Roman"/>
          <w:sz w:val="24"/>
          <w:szCs w:val="24"/>
          <w:lang w:val="es-CO"/>
        </w:rPr>
        <w:t>3</w:t>
      </w:r>
      <w:r>
        <w:rPr>
          <w:rFonts w:ascii="Times New Roman" w:hAnsi="Times New Roman" w:cs="Times New Roman"/>
          <w:sz w:val="24"/>
          <w:szCs w:val="24"/>
          <w:lang w:val="es-CO"/>
        </w:rPr>
        <w:t>77 y 2’445.101</w:t>
      </w:r>
      <w:r w:rsidRPr="00B80D1D">
        <w:rPr>
          <w:rFonts w:ascii="Times New Roman" w:hAnsi="Times New Roman" w:cs="Times New Roman"/>
          <w:sz w:val="24"/>
          <w:szCs w:val="24"/>
          <w:lang w:val="es-CO"/>
        </w:rPr>
        <w:t>)</w:t>
      </w:r>
      <w:r>
        <w:rPr>
          <w:rFonts w:ascii="Times New Roman" w:hAnsi="Times New Roman" w:cs="Times New Roman"/>
          <w:sz w:val="24"/>
          <w:szCs w:val="24"/>
          <w:lang w:val="es-CO"/>
        </w:rPr>
        <w:t>, y Santander (1’632.263 y 1’381.363),</w:t>
      </w:r>
      <w:r w:rsidRPr="00B80D1D">
        <w:rPr>
          <w:rFonts w:ascii="Times New Roman" w:hAnsi="Times New Roman" w:cs="Times New Roman"/>
          <w:sz w:val="24"/>
          <w:szCs w:val="24"/>
          <w:lang w:val="es-CO"/>
        </w:rPr>
        <w:t xml:space="preserve"> y </w:t>
      </w:r>
      <w:r>
        <w:rPr>
          <w:rFonts w:ascii="Times New Roman" w:hAnsi="Times New Roman" w:cs="Times New Roman"/>
          <w:sz w:val="24"/>
          <w:szCs w:val="24"/>
          <w:lang w:val="es-CO"/>
        </w:rPr>
        <w:t xml:space="preserve">las entidades territoriales </w:t>
      </w:r>
      <w:r w:rsidRPr="00B80D1D">
        <w:rPr>
          <w:rFonts w:ascii="Times New Roman" w:hAnsi="Times New Roman" w:cs="Times New Roman"/>
          <w:sz w:val="24"/>
          <w:szCs w:val="24"/>
          <w:lang w:val="es-CO"/>
        </w:rPr>
        <w:t>con menor número</w:t>
      </w:r>
      <w:r>
        <w:rPr>
          <w:rFonts w:ascii="Times New Roman" w:hAnsi="Times New Roman" w:cs="Times New Roman"/>
          <w:sz w:val="24"/>
          <w:szCs w:val="24"/>
          <w:lang w:val="es-CO"/>
        </w:rPr>
        <w:t xml:space="preserve"> dosis asignadas y aplicadas para la vacunación </w:t>
      </w:r>
      <w:r w:rsidRPr="00B80D1D">
        <w:rPr>
          <w:rFonts w:ascii="Times New Roman" w:hAnsi="Times New Roman" w:cs="Times New Roman"/>
          <w:sz w:val="24"/>
          <w:szCs w:val="24"/>
          <w:lang w:val="es-CO"/>
        </w:rPr>
        <w:t>son: Vaupés (</w:t>
      </w:r>
      <w:r>
        <w:rPr>
          <w:rFonts w:ascii="Times New Roman" w:hAnsi="Times New Roman" w:cs="Times New Roman"/>
          <w:sz w:val="24"/>
          <w:szCs w:val="24"/>
          <w:lang w:val="es-CO"/>
        </w:rPr>
        <w:t>20.331 y 17.113</w:t>
      </w:r>
      <w:r w:rsidRPr="00B80D1D">
        <w:rPr>
          <w:rFonts w:ascii="Times New Roman" w:hAnsi="Times New Roman" w:cs="Times New Roman"/>
          <w:color w:val="ED7D31" w:themeColor="accent2"/>
          <w:sz w:val="24"/>
          <w:szCs w:val="24"/>
          <w:lang w:val="es-CO"/>
        </w:rPr>
        <w:t xml:space="preserve">), </w:t>
      </w:r>
      <w:r w:rsidRPr="00B80D1D">
        <w:rPr>
          <w:rFonts w:ascii="Times New Roman" w:hAnsi="Times New Roman" w:cs="Times New Roman"/>
          <w:sz w:val="24"/>
          <w:szCs w:val="24"/>
          <w:lang w:val="es-CO"/>
        </w:rPr>
        <w:t>Vichada (</w:t>
      </w:r>
      <w:r>
        <w:rPr>
          <w:rFonts w:ascii="Times New Roman" w:hAnsi="Times New Roman" w:cs="Times New Roman"/>
          <w:sz w:val="24"/>
          <w:szCs w:val="24"/>
          <w:lang w:val="es-CO"/>
        </w:rPr>
        <w:t>26.284 y 22.171</w:t>
      </w:r>
      <w:r w:rsidRPr="00B80D1D">
        <w:rPr>
          <w:rFonts w:ascii="Times New Roman" w:hAnsi="Times New Roman" w:cs="Times New Roman"/>
          <w:sz w:val="24"/>
          <w:szCs w:val="24"/>
          <w:lang w:val="es-CO"/>
        </w:rPr>
        <w:t>)</w:t>
      </w:r>
      <w:r>
        <w:rPr>
          <w:rFonts w:ascii="Times New Roman" w:hAnsi="Times New Roman" w:cs="Times New Roman"/>
          <w:sz w:val="24"/>
          <w:szCs w:val="24"/>
          <w:lang w:val="es-CO"/>
        </w:rPr>
        <w:t xml:space="preserve">, </w:t>
      </w:r>
      <w:r w:rsidRPr="00B80D1D">
        <w:rPr>
          <w:rFonts w:ascii="Times New Roman" w:hAnsi="Times New Roman" w:cs="Times New Roman"/>
          <w:sz w:val="24"/>
          <w:szCs w:val="24"/>
          <w:lang w:val="es-CO"/>
        </w:rPr>
        <w:t>Guainía (</w:t>
      </w:r>
      <w:r>
        <w:rPr>
          <w:rFonts w:ascii="Times New Roman" w:hAnsi="Times New Roman" w:cs="Times New Roman"/>
          <w:sz w:val="24"/>
          <w:szCs w:val="24"/>
          <w:lang w:val="es-CO"/>
        </w:rPr>
        <w:t>28.442 y 22.732</w:t>
      </w:r>
      <w:r w:rsidRPr="00B80D1D">
        <w:rPr>
          <w:rFonts w:ascii="Times New Roman" w:hAnsi="Times New Roman" w:cs="Times New Roman"/>
          <w:sz w:val="24"/>
          <w:szCs w:val="24"/>
          <w:lang w:val="es-CO"/>
        </w:rPr>
        <w:t xml:space="preserve">), </w:t>
      </w:r>
      <w:r>
        <w:rPr>
          <w:rFonts w:ascii="Times New Roman" w:hAnsi="Times New Roman" w:cs="Times New Roman"/>
          <w:sz w:val="24"/>
          <w:szCs w:val="24"/>
          <w:lang w:val="es-CO"/>
        </w:rPr>
        <w:t>Guaviare (44,840 y 35.919),</w:t>
      </w:r>
      <w:r w:rsidRPr="00B80D1D">
        <w:rPr>
          <w:rFonts w:ascii="Times New Roman" w:hAnsi="Times New Roman" w:cs="Times New Roman"/>
          <w:sz w:val="24"/>
          <w:szCs w:val="24"/>
          <w:lang w:val="es-CO"/>
        </w:rPr>
        <w:t xml:space="preserve"> </w:t>
      </w:r>
      <w:r>
        <w:rPr>
          <w:rFonts w:ascii="Times New Roman" w:hAnsi="Times New Roman" w:cs="Times New Roman"/>
          <w:sz w:val="24"/>
          <w:szCs w:val="24"/>
          <w:lang w:val="es-CO"/>
        </w:rPr>
        <w:t>y Amazonas</w:t>
      </w:r>
      <w:r w:rsidRPr="00B80D1D">
        <w:rPr>
          <w:rFonts w:ascii="Times New Roman" w:hAnsi="Times New Roman" w:cs="Times New Roman"/>
          <w:sz w:val="24"/>
          <w:szCs w:val="24"/>
          <w:lang w:val="es-CO"/>
        </w:rPr>
        <w:t xml:space="preserve"> (</w:t>
      </w:r>
      <w:r>
        <w:rPr>
          <w:rFonts w:ascii="Times New Roman" w:hAnsi="Times New Roman" w:cs="Times New Roman"/>
          <w:sz w:val="24"/>
          <w:szCs w:val="24"/>
          <w:lang w:val="es-CO"/>
        </w:rPr>
        <w:t>76.056 y 67.709</w:t>
      </w:r>
      <w:r w:rsidRPr="00B80D1D">
        <w:rPr>
          <w:rFonts w:ascii="Times New Roman" w:hAnsi="Times New Roman" w:cs="Times New Roman"/>
          <w:sz w:val="24"/>
          <w:szCs w:val="24"/>
          <w:lang w:val="es-CO"/>
        </w:rPr>
        <w:t>)</w:t>
      </w:r>
      <w:r>
        <w:rPr>
          <w:rFonts w:ascii="Times New Roman" w:hAnsi="Times New Roman" w:cs="Times New Roman"/>
          <w:sz w:val="24"/>
          <w:szCs w:val="24"/>
          <w:lang w:val="es-CO"/>
        </w:rPr>
        <w:t>.</w:t>
      </w:r>
      <w:r w:rsidRPr="00B80D1D">
        <w:rPr>
          <w:rFonts w:ascii="Times New Roman" w:hAnsi="Times New Roman" w:cs="Times New Roman"/>
          <w:sz w:val="24"/>
          <w:szCs w:val="24"/>
          <w:lang w:val="es-CO"/>
        </w:rPr>
        <w:t xml:space="preserve"> </w:t>
      </w:r>
    </w:p>
    <w:p w14:paraId="2CA7064E" w14:textId="77777777" w:rsidR="00552FB9" w:rsidRDefault="00552FB9" w:rsidP="00552FB9">
      <w:pPr>
        <w:pStyle w:val="Textoindependiente"/>
        <w:spacing w:line="360" w:lineRule="auto"/>
        <w:jc w:val="both"/>
        <w:rPr>
          <w:rFonts w:ascii="Times New Roman" w:hAnsi="Times New Roman" w:cs="Times New Roman"/>
          <w:sz w:val="24"/>
          <w:szCs w:val="24"/>
          <w:lang w:eastAsia="es-CO"/>
        </w:rPr>
      </w:pPr>
    </w:p>
    <w:p w14:paraId="11722483" w14:textId="3D4EDC35" w:rsidR="007A3EAF" w:rsidRDefault="008224E1" w:rsidP="007A3EAF">
      <w:pPr>
        <w:rPr>
          <w:lang w:val="es-CO"/>
        </w:rPr>
      </w:pPr>
      <w:r>
        <w:rPr>
          <w:noProof/>
        </w:rPr>
        <w:drawing>
          <wp:inline distT="0" distB="0" distL="0" distR="0" wp14:anchorId="34167C7E" wp14:editId="1CECD8FD">
            <wp:extent cx="5612130" cy="6305550"/>
            <wp:effectExtent l="0" t="0" r="7620" b="0"/>
            <wp:docPr id="5" name="Gráfico 5">
              <a:extLst xmlns:a="http://schemas.openxmlformats.org/drawingml/2006/main">
                <a:ext uri="{FF2B5EF4-FFF2-40B4-BE49-F238E27FC236}">
                  <a16:creationId xmlns:a16="http://schemas.microsoft.com/office/drawing/2014/main" id="{2B70247B-D09F-429D-8FFB-7C3367B981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8029ACA" w14:textId="775F3FB1" w:rsidR="008224E1" w:rsidRPr="00831365" w:rsidRDefault="008224E1" w:rsidP="008224E1">
      <w:pPr>
        <w:pStyle w:val="Textoindependiente"/>
        <w:spacing w:line="360" w:lineRule="auto"/>
        <w:jc w:val="center"/>
        <w:rPr>
          <w:rFonts w:ascii="Times New Roman" w:hAnsi="Times New Roman" w:cs="Times New Roman"/>
          <w:sz w:val="20"/>
          <w:szCs w:val="20"/>
        </w:rPr>
      </w:pPr>
      <w:r w:rsidRPr="00831365">
        <w:rPr>
          <w:rFonts w:ascii="Times New Roman" w:hAnsi="Times New Roman" w:cs="Times New Roman"/>
          <w:b/>
          <w:bCs/>
          <w:sz w:val="20"/>
          <w:szCs w:val="20"/>
        </w:rPr>
        <w:t xml:space="preserve">Figura </w:t>
      </w:r>
      <w:r>
        <w:rPr>
          <w:rFonts w:ascii="Times New Roman" w:hAnsi="Times New Roman" w:cs="Times New Roman"/>
          <w:b/>
          <w:bCs/>
          <w:sz w:val="20"/>
          <w:szCs w:val="20"/>
        </w:rPr>
        <w:t xml:space="preserve">5. </w:t>
      </w:r>
      <w:r>
        <w:rPr>
          <w:rFonts w:ascii="Times New Roman" w:hAnsi="Times New Roman" w:cs="Times New Roman"/>
          <w:sz w:val="20"/>
          <w:szCs w:val="20"/>
        </w:rPr>
        <w:t xml:space="preserve">Dosis asignadas y aplicadas por entidad territorial. </w:t>
      </w:r>
      <w:r w:rsidRPr="00C37B1F">
        <w:rPr>
          <w:rFonts w:ascii="Times New Roman" w:hAnsi="Times New Roman" w:cs="Times New Roman"/>
          <w:b/>
          <w:bCs/>
          <w:sz w:val="20"/>
          <w:szCs w:val="20"/>
        </w:rPr>
        <w:t>Fuente</w:t>
      </w:r>
      <w:r>
        <w:rPr>
          <w:rFonts w:ascii="Times New Roman" w:hAnsi="Times New Roman" w:cs="Times New Roman"/>
          <w:sz w:val="20"/>
          <w:szCs w:val="20"/>
        </w:rPr>
        <w:t>: el autor</w:t>
      </w:r>
    </w:p>
    <w:p w14:paraId="16D75577" w14:textId="7EAA882F" w:rsidR="00D617C9" w:rsidRDefault="00D617C9" w:rsidP="00D617C9">
      <w:pPr>
        <w:spacing w:after="0" w:line="360" w:lineRule="auto"/>
        <w:jc w:val="both"/>
        <w:rPr>
          <w:rFonts w:ascii="Times New Roman" w:hAnsi="Times New Roman" w:cs="Times New Roman"/>
          <w:sz w:val="24"/>
          <w:szCs w:val="24"/>
          <w:lang w:val="es-CO"/>
        </w:rPr>
      </w:pPr>
      <w:r w:rsidRPr="00B80D1D">
        <w:rPr>
          <w:rFonts w:ascii="Times New Roman" w:hAnsi="Times New Roman" w:cs="Times New Roman"/>
          <w:sz w:val="24"/>
          <w:szCs w:val="24"/>
          <w:lang w:val="es-CO"/>
        </w:rPr>
        <w:t xml:space="preserve">En la </w:t>
      </w:r>
      <w:r w:rsidRPr="00B80D1D">
        <w:rPr>
          <w:rFonts w:ascii="Times New Roman" w:hAnsi="Times New Roman" w:cs="Times New Roman"/>
          <w:b/>
          <w:sz w:val="24"/>
          <w:szCs w:val="24"/>
          <w:lang w:val="es-CO"/>
        </w:rPr>
        <w:t xml:space="preserve">figura </w:t>
      </w:r>
      <w:r>
        <w:rPr>
          <w:rFonts w:ascii="Times New Roman" w:hAnsi="Times New Roman" w:cs="Times New Roman"/>
          <w:b/>
          <w:sz w:val="24"/>
          <w:szCs w:val="24"/>
          <w:lang w:val="es-CO"/>
        </w:rPr>
        <w:t>6</w:t>
      </w:r>
      <w:r w:rsidRPr="00B80D1D">
        <w:rPr>
          <w:rFonts w:ascii="Times New Roman" w:hAnsi="Times New Roman" w:cs="Times New Roman"/>
          <w:sz w:val="24"/>
          <w:szCs w:val="24"/>
          <w:lang w:val="es-CO"/>
        </w:rPr>
        <w:t xml:space="preserve"> podemos considerar los valores de </w:t>
      </w:r>
      <w:r>
        <w:rPr>
          <w:rFonts w:ascii="Times New Roman" w:hAnsi="Times New Roman" w:cs="Times New Roman"/>
          <w:sz w:val="24"/>
          <w:szCs w:val="24"/>
          <w:lang w:val="es-CO"/>
        </w:rPr>
        <w:t>los porcentajes de dosis asignadas para la vacunación contra SARS-CoV-2</w:t>
      </w:r>
      <w:r w:rsidRPr="00B80D1D">
        <w:rPr>
          <w:rFonts w:ascii="Times New Roman" w:hAnsi="Times New Roman" w:cs="Times New Roman"/>
          <w:sz w:val="24"/>
          <w:szCs w:val="24"/>
          <w:lang w:val="es-CO"/>
        </w:rPr>
        <w:t xml:space="preserve"> en</w:t>
      </w:r>
      <w:r>
        <w:rPr>
          <w:rFonts w:ascii="Times New Roman" w:hAnsi="Times New Roman" w:cs="Times New Roman"/>
          <w:sz w:val="24"/>
          <w:szCs w:val="24"/>
          <w:lang w:val="es-CO"/>
        </w:rPr>
        <w:t xml:space="preserve"> las entidades territoriales de</w:t>
      </w:r>
      <w:r w:rsidRPr="00B80D1D">
        <w:rPr>
          <w:rFonts w:ascii="Times New Roman" w:hAnsi="Times New Roman" w:cs="Times New Roman"/>
          <w:sz w:val="24"/>
          <w:szCs w:val="24"/>
          <w:lang w:val="es-CO"/>
        </w:rPr>
        <w:t xml:space="preserve"> Colombia, a</w:t>
      </w:r>
      <w:r>
        <w:rPr>
          <w:rFonts w:ascii="Times New Roman" w:hAnsi="Times New Roman" w:cs="Times New Roman"/>
          <w:sz w:val="24"/>
          <w:szCs w:val="24"/>
          <w:lang w:val="es-CO"/>
        </w:rPr>
        <w:t>l</w:t>
      </w:r>
      <w:r w:rsidRPr="00B80D1D">
        <w:rPr>
          <w:rFonts w:ascii="Times New Roman" w:hAnsi="Times New Roman" w:cs="Times New Roman"/>
          <w:sz w:val="24"/>
          <w:szCs w:val="24"/>
          <w:lang w:val="es-CO"/>
        </w:rPr>
        <w:t xml:space="preserve"> </w:t>
      </w:r>
      <w:r>
        <w:rPr>
          <w:rFonts w:ascii="Times New Roman" w:hAnsi="Times New Roman" w:cs="Times New Roman"/>
          <w:sz w:val="24"/>
          <w:szCs w:val="24"/>
          <w:lang w:val="es-CO"/>
        </w:rPr>
        <w:t>31</w:t>
      </w:r>
      <w:r w:rsidRPr="00B80D1D">
        <w:rPr>
          <w:rFonts w:ascii="Times New Roman" w:hAnsi="Times New Roman" w:cs="Times New Roman"/>
          <w:sz w:val="24"/>
          <w:szCs w:val="24"/>
          <w:lang w:val="es-CO"/>
        </w:rPr>
        <w:t xml:space="preserve"> de ju</w:t>
      </w:r>
      <w:r>
        <w:rPr>
          <w:rFonts w:ascii="Times New Roman" w:hAnsi="Times New Roman" w:cs="Times New Roman"/>
          <w:sz w:val="24"/>
          <w:szCs w:val="24"/>
          <w:lang w:val="es-CO"/>
        </w:rPr>
        <w:t>l</w:t>
      </w:r>
      <w:r w:rsidRPr="00B80D1D">
        <w:rPr>
          <w:rFonts w:ascii="Times New Roman" w:hAnsi="Times New Roman" w:cs="Times New Roman"/>
          <w:sz w:val="24"/>
          <w:szCs w:val="24"/>
          <w:lang w:val="es-CO"/>
        </w:rPr>
        <w:t>io</w:t>
      </w:r>
      <w:r>
        <w:rPr>
          <w:rFonts w:ascii="Times New Roman" w:hAnsi="Times New Roman" w:cs="Times New Roman"/>
          <w:sz w:val="24"/>
          <w:szCs w:val="24"/>
          <w:lang w:val="es-CO"/>
        </w:rPr>
        <w:t xml:space="preserve"> de </w:t>
      </w:r>
      <w:r w:rsidRPr="00B80D1D">
        <w:rPr>
          <w:rFonts w:ascii="Times New Roman" w:hAnsi="Times New Roman" w:cs="Times New Roman"/>
          <w:sz w:val="24"/>
          <w:szCs w:val="24"/>
          <w:lang w:val="es-CO"/>
        </w:rPr>
        <w:t xml:space="preserve">2021. En ella se puede concluir que </w:t>
      </w:r>
      <w:r>
        <w:rPr>
          <w:rFonts w:ascii="Times New Roman" w:hAnsi="Times New Roman" w:cs="Times New Roman"/>
          <w:sz w:val="24"/>
          <w:szCs w:val="24"/>
          <w:lang w:val="es-CO"/>
        </w:rPr>
        <w:t xml:space="preserve">las entidades territoriales </w:t>
      </w:r>
      <w:r w:rsidRPr="00B80D1D">
        <w:rPr>
          <w:rFonts w:ascii="Times New Roman" w:hAnsi="Times New Roman" w:cs="Times New Roman"/>
          <w:sz w:val="24"/>
          <w:szCs w:val="24"/>
          <w:lang w:val="es-CO"/>
        </w:rPr>
        <w:t>con mayor número</w:t>
      </w:r>
      <w:r>
        <w:rPr>
          <w:rFonts w:ascii="Times New Roman" w:hAnsi="Times New Roman" w:cs="Times New Roman"/>
          <w:sz w:val="24"/>
          <w:szCs w:val="24"/>
          <w:lang w:val="es-CO"/>
        </w:rPr>
        <w:t xml:space="preserve"> de porcentaje de dosis asignadas </w:t>
      </w:r>
      <w:r w:rsidRPr="00B80D1D">
        <w:rPr>
          <w:rFonts w:ascii="Times New Roman" w:hAnsi="Times New Roman" w:cs="Times New Roman"/>
          <w:sz w:val="24"/>
          <w:szCs w:val="24"/>
          <w:lang w:val="es-CO"/>
        </w:rPr>
        <w:t>son: Bogotá (</w:t>
      </w:r>
      <w:r>
        <w:rPr>
          <w:rFonts w:ascii="Times New Roman" w:hAnsi="Times New Roman" w:cs="Times New Roman"/>
          <w:sz w:val="24"/>
          <w:szCs w:val="24"/>
          <w:lang w:val="es-CO"/>
        </w:rPr>
        <w:t>18.61</w:t>
      </w:r>
      <w:r w:rsidRPr="00B80D1D">
        <w:rPr>
          <w:rFonts w:ascii="Times New Roman" w:hAnsi="Times New Roman" w:cs="Times New Roman"/>
          <w:sz w:val="24"/>
          <w:szCs w:val="24"/>
          <w:lang w:val="es-CO"/>
        </w:rPr>
        <w:t>), Antioqu</w:t>
      </w:r>
      <w:r>
        <w:rPr>
          <w:rFonts w:ascii="Times New Roman" w:hAnsi="Times New Roman" w:cs="Times New Roman"/>
          <w:sz w:val="24"/>
          <w:szCs w:val="24"/>
          <w:lang w:val="es-CO"/>
        </w:rPr>
        <w:t>ia</w:t>
      </w:r>
      <w:r w:rsidRPr="00B80D1D">
        <w:rPr>
          <w:rFonts w:ascii="Times New Roman" w:hAnsi="Times New Roman" w:cs="Times New Roman"/>
          <w:sz w:val="24"/>
          <w:szCs w:val="24"/>
          <w:lang w:val="es-CO"/>
        </w:rPr>
        <w:t xml:space="preserve"> (</w:t>
      </w:r>
      <w:r>
        <w:rPr>
          <w:rFonts w:ascii="Times New Roman" w:hAnsi="Times New Roman" w:cs="Times New Roman"/>
          <w:sz w:val="24"/>
          <w:szCs w:val="24"/>
          <w:lang w:val="es-CO"/>
        </w:rPr>
        <w:t>14,92</w:t>
      </w:r>
      <w:r w:rsidRPr="00B80D1D">
        <w:rPr>
          <w:rFonts w:ascii="Times New Roman" w:hAnsi="Times New Roman" w:cs="Times New Roman"/>
          <w:sz w:val="24"/>
          <w:szCs w:val="24"/>
          <w:lang w:val="es-CO"/>
        </w:rPr>
        <w:t>), Valle del Cauca (</w:t>
      </w:r>
      <w:r>
        <w:rPr>
          <w:rFonts w:ascii="Times New Roman" w:hAnsi="Times New Roman" w:cs="Times New Roman"/>
          <w:sz w:val="24"/>
          <w:szCs w:val="24"/>
          <w:lang w:val="es-CO"/>
        </w:rPr>
        <w:t>8,82</w:t>
      </w:r>
      <w:r w:rsidRPr="00B80D1D">
        <w:rPr>
          <w:rFonts w:ascii="Times New Roman" w:hAnsi="Times New Roman" w:cs="Times New Roman"/>
          <w:sz w:val="24"/>
          <w:szCs w:val="24"/>
          <w:lang w:val="es-CO"/>
        </w:rPr>
        <w:t>),</w:t>
      </w:r>
      <w:r>
        <w:rPr>
          <w:rFonts w:ascii="Times New Roman" w:hAnsi="Times New Roman" w:cs="Times New Roman"/>
          <w:sz w:val="24"/>
          <w:szCs w:val="24"/>
          <w:lang w:val="es-CO"/>
        </w:rPr>
        <w:t xml:space="preserve"> Cundinamarca (6,03), y Santander (5,.</w:t>
      </w:r>
      <w:r w:rsidRPr="00070088">
        <w:rPr>
          <w:rFonts w:ascii="Times New Roman" w:hAnsi="Times New Roman" w:cs="Times New Roman"/>
          <w:sz w:val="24"/>
          <w:szCs w:val="24"/>
          <w:lang w:val="es-CO"/>
        </w:rPr>
        <w:t>0</w:t>
      </w:r>
      <w:r>
        <w:rPr>
          <w:rFonts w:ascii="Times New Roman" w:hAnsi="Times New Roman" w:cs="Times New Roman"/>
          <w:sz w:val="24"/>
          <w:szCs w:val="24"/>
          <w:lang w:val="es-CO"/>
        </w:rPr>
        <w:t xml:space="preserve">7), y las entidades territoriales </w:t>
      </w:r>
      <w:r w:rsidRPr="00B80D1D">
        <w:rPr>
          <w:rFonts w:ascii="Times New Roman" w:hAnsi="Times New Roman" w:cs="Times New Roman"/>
          <w:sz w:val="24"/>
          <w:szCs w:val="24"/>
          <w:lang w:val="es-CO"/>
        </w:rPr>
        <w:t>con menor número</w:t>
      </w:r>
      <w:r>
        <w:rPr>
          <w:rFonts w:ascii="Times New Roman" w:hAnsi="Times New Roman" w:cs="Times New Roman"/>
          <w:sz w:val="24"/>
          <w:szCs w:val="24"/>
          <w:lang w:val="es-CO"/>
        </w:rPr>
        <w:t xml:space="preserve"> de porcentaje de dosis asignadas </w:t>
      </w:r>
      <w:r w:rsidRPr="00B80D1D">
        <w:rPr>
          <w:rFonts w:ascii="Times New Roman" w:hAnsi="Times New Roman" w:cs="Times New Roman"/>
          <w:sz w:val="24"/>
          <w:szCs w:val="24"/>
          <w:lang w:val="es-CO"/>
        </w:rPr>
        <w:t>son:</w:t>
      </w:r>
      <w:r>
        <w:rPr>
          <w:rFonts w:ascii="Times New Roman" w:hAnsi="Times New Roman" w:cs="Times New Roman"/>
          <w:sz w:val="24"/>
          <w:szCs w:val="24"/>
          <w:lang w:val="es-CO"/>
        </w:rPr>
        <w:t xml:space="preserve"> </w:t>
      </w:r>
      <w:r w:rsidRPr="00B80D1D">
        <w:rPr>
          <w:rFonts w:ascii="Times New Roman" w:hAnsi="Times New Roman" w:cs="Times New Roman"/>
          <w:sz w:val="24"/>
          <w:szCs w:val="24"/>
          <w:lang w:val="es-CO"/>
        </w:rPr>
        <w:t>Vaupés (</w:t>
      </w:r>
      <w:r>
        <w:rPr>
          <w:rFonts w:ascii="Times New Roman" w:hAnsi="Times New Roman" w:cs="Times New Roman"/>
          <w:sz w:val="24"/>
          <w:szCs w:val="24"/>
          <w:lang w:val="es-CO"/>
        </w:rPr>
        <w:t>0,66),</w:t>
      </w:r>
      <w:r w:rsidRPr="00B80D1D">
        <w:rPr>
          <w:rFonts w:ascii="Times New Roman" w:hAnsi="Times New Roman" w:cs="Times New Roman"/>
          <w:color w:val="ED7D31" w:themeColor="accent2"/>
          <w:sz w:val="24"/>
          <w:szCs w:val="24"/>
          <w:lang w:val="es-CO"/>
        </w:rPr>
        <w:t xml:space="preserve"> </w:t>
      </w:r>
      <w:r>
        <w:rPr>
          <w:rFonts w:ascii="Times New Roman" w:hAnsi="Times New Roman" w:cs="Times New Roman"/>
          <w:sz w:val="24"/>
          <w:szCs w:val="24"/>
          <w:lang w:val="es-CO"/>
        </w:rPr>
        <w:t>Vichada</w:t>
      </w:r>
      <w:r w:rsidRPr="00B80D1D">
        <w:rPr>
          <w:rFonts w:ascii="Times New Roman" w:hAnsi="Times New Roman" w:cs="Times New Roman"/>
          <w:sz w:val="24"/>
          <w:szCs w:val="24"/>
          <w:lang w:val="es-CO"/>
        </w:rPr>
        <w:t xml:space="preserve"> (</w:t>
      </w:r>
      <w:r>
        <w:rPr>
          <w:rFonts w:ascii="Times New Roman" w:hAnsi="Times New Roman" w:cs="Times New Roman"/>
          <w:sz w:val="24"/>
          <w:szCs w:val="24"/>
          <w:lang w:val="es-CO"/>
        </w:rPr>
        <w:t>0,08</w:t>
      </w:r>
      <w:r w:rsidRPr="00B80D1D">
        <w:rPr>
          <w:rFonts w:ascii="Times New Roman" w:hAnsi="Times New Roman" w:cs="Times New Roman"/>
          <w:sz w:val="24"/>
          <w:szCs w:val="24"/>
          <w:lang w:val="es-CO"/>
        </w:rPr>
        <w:t>)</w:t>
      </w:r>
      <w:r>
        <w:rPr>
          <w:rFonts w:ascii="Times New Roman" w:hAnsi="Times New Roman" w:cs="Times New Roman"/>
          <w:sz w:val="24"/>
          <w:szCs w:val="24"/>
          <w:lang w:val="es-CO"/>
        </w:rPr>
        <w:t>,</w:t>
      </w:r>
      <w:r w:rsidRPr="00B80D1D">
        <w:rPr>
          <w:rFonts w:ascii="Times New Roman" w:hAnsi="Times New Roman" w:cs="Times New Roman"/>
          <w:sz w:val="24"/>
          <w:szCs w:val="24"/>
          <w:lang w:val="es-CO"/>
        </w:rPr>
        <w:t xml:space="preserve"> Gua</w:t>
      </w:r>
      <w:r>
        <w:rPr>
          <w:rFonts w:ascii="Times New Roman" w:hAnsi="Times New Roman" w:cs="Times New Roman"/>
          <w:sz w:val="24"/>
          <w:szCs w:val="24"/>
          <w:lang w:val="es-CO"/>
        </w:rPr>
        <w:t>viare</w:t>
      </w:r>
      <w:r w:rsidRPr="00B80D1D">
        <w:rPr>
          <w:rFonts w:ascii="Times New Roman" w:hAnsi="Times New Roman" w:cs="Times New Roman"/>
          <w:sz w:val="24"/>
          <w:szCs w:val="24"/>
          <w:lang w:val="es-CO"/>
        </w:rPr>
        <w:t xml:space="preserve"> (</w:t>
      </w:r>
      <w:r>
        <w:rPr>
          <w:rFonts w:ascii="Times New Roman" w:hAnsi="Times New Roman" w:cs="Times New Roman"/>
          <w:sz w:val="24"/>
          <w:szCs w:val="24"/>
          <w:lang w:val="es-CO"/>
        </w:rPr>
        <w:t>6.296</w:t>
      </w:r>
      <w:r w:rsidRPr="00B80D1D">
        <w:rPr>
          <w:rFonts w:ascii="Times New Roman" w:hAnsi="Times New Roman" w:cs="Times New Roman"/>
          <w:sz w:val="24"/>
          <w:szCs w:val="24"/>
          <w:lang w:val="es-CO"/>
        </w:rPr>
        <w:t xml:space="preserve">), </w:t>
      </w:r>
      <w:r>
        <w:rPr>
          <w:rFonts w:ascii="Times New Roman" w:hAnsi="Times New Roman" w:cs="Times New Roman"/>
          <w:sz w:val="24"/>
          <w:szCs w:val="24"/>
          <w:lang w:val="es-CO"/>
        </w:rPr>
        <w:t xml:space="preserve">Guainía (0,09), y Guaviare (0,14). </w:t>
      </w:r>
    </w:p>
    <w:p w14:paraId="5DF685E1" w14:textId="77777777" w:rsidR="00D617C9" w:rsidRPr="00B80D1D" w:rsidRDefault="00D617C9" w:rsidP="00D617C9">
      <w:pPr>
        <w:spacing w:after="0" w:line="360" w:lineRule="auto"/>
        <w:jc w:val="both"/>
        <w:rPr>
          <w:rFonts w:ascii="Times New Roman" w:hAnsi="Times New Roman" w:cs="Times New Roman"/>
          <w:sz w:val="24"/>
          <w:szCs w:val="24"/>
          <w:lang w:val="es-CO"/>
        </w:rPr>
      </w:pPr>
      <w:r>
        <w:rPr>
          <w:noProof/>
        </w:rPr>
        <w:drawing>
          <wp:inline distT="0" distB="0" distL="0" distR="0" wp14:anchorId="62955B2F" wp14:editId="16D80693">
            <wp:extent cx="5612130" cy="5972175"/>
            <wp:effectExtent l="0" t="0" r="7620" b="9525"/>
            <wp:docPr id="6" name="Gráfico 6">
              <a:extLst xmlns:a="http://schemas.openxmlformats.org/drawingml/2006/main">
                <a:ext uri="{FF2B5EF4-FFF2-40B4-BE49-F238E27FC236}">
                  <a16:creationId xmlns:a16="http://schemas.microsoft.com/office/drawing/2014/main" id="{D2DB1BFC-7F27-4C5D-9852-F88A2AF32D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2D78061" w14:textId="3BCFEDD1" w:rsidR="00D617C9" w:rsidRPr="00630DFA" w:rsidRDefault="00D617C9" w:rsidP="00D617C9">
      <w:pPr>
        <w:jc w:val="center"/>
        <w:rPr>
          <w:rFonts w:ascii="Times New Roman" w:hAnsi="Times New Roman" w:cs="Times New Roman"/>
          <w:sz w:val="20"/>
          <w:szCs w:val="20"/>
          <w:lang w:val="es-CO"/>
        </w:rPr>
      </w:pPr>
      <w:r w:rsidRPr="00630DFA">
        <w:rPr>
          <w:rFonts w:ascii="Times New Roman" w:hAnsi="Times New Roman" w:cs="Times New Roman"/>
          <w:b/>
          <w:bCs/>
          <w:sz w:val="20"/>
          <w:szCs w:val="20"/>
          <w:lang w:val="es-CO"/>
        </w:rPr>
        <w:t xml:space="preserve">Figura </w:t>
      </w:r>
      <w:r>
        <w:rPr>
          <w:rFonts w:ascii="Times New Roman" w:hAnsi="Times New Roman" w:cs="Times New Roman"/>
          <w:b/>
          <w:bCs/>
          <w:sz w:val="20"/>
          <w:szCs w:val="20"/>
          <w:lang w:val="es-CO"/>
        </w:rPr>
        <w:t>6</w:t>
      </w:r>
      <w:r w:rsidRPr="00630DFA">
        <w:rPr>
          <w:rFonts w:ascii="Times New Roman" w:hAnsi="Times New Roman" w:cs="Times New Roman"/>
          <w:b/>
          <w:bCs/>
          <w:sz w:val="20"/>
          <w:szCs w:val="20"/>
          <w:lang w:val="es-CO"/>
        </w:rPr>
        <w:t xml:space="preserve">. </w:t>
      </w:r>
      <w:r>
        <w:rPr>
          <w:rFonts w:ascii="Times New Roman" w:hAnsi="Times New Roman" w:cs="Times New Roman"/>
          <w:sz w:val="20"/>
          <w:szCs w:val="20"/>
          <w:lang w:val="es-CO"/>
        </w:rPr>
        <w:t xml:space="preserve">Porcentaje de dosis asignadas </w:t>
      </w:r>
      <w:r w:rsidRPr="00630DFA">
        <w:rPr>
          <w:rFonts w:ascii="Times New Roman" w:hAnsi="Times New Roman" w:cs="Times New Roman"/>
          <w:sz w:val="20"/>
          <w:szCs w:val="20"/>
          <w:lang w:val="es-CO"/>
        </w:rPr>
        <w:t xml:space="preserve">por entidad territorial. </w:t>
      </w:r>
      <w:r w:rsidRPr="00630DFA">
        <w:rPr>
          <w:rFonts w:ascii="Times New Roman" w:hAnsi="Times New Roman" w:cs="Times New Roman"/>
          <w:b/>
          <w:bCs/>
          <w:sz w:val="20"/>
          <w:szCs w:val="20"/>
          <w:lang w:val="es-CO"/>
        </w:rPr>
        <w:t>Fuente</w:t>
      </w:r>
      <w:r w:rsidRPr="00630DFA">
        <w:rPr>
          <w:rFonts w:ascii="Times New Roman" w:hAnsi="Times New Roman" w:cs="Times New Roman"/>
          <w:sz w:val="20"/>
          <w:szCs w:val="20"/>
          <w:lang w:val="es-CO"/>
        </w:rPr>
        <w:t>: el autor</w:t>
      </w:r>
    </w:p>
    <w:p w14:paraId="4064C136" w14:textId="77777777" w:rsidR="00D617C9" w:rsidRDefault="00D617C9" w:rsidP="00D617C9">
      <w:pPr>
        <w:pStyle w:val="Textoindependiente"/>
        <w:spacing w:line="360" w:lineRule="auto"/>
        <w:jc w:val="both"/>
        <w:rPr>
          <w:rFonts w:ascii="Times New Roman" w:hAnsi="Times New Roman" w:cs="Times New Roman"/>
          <w:sz w:val="24"/>
          <w:szCs w:val="24"/>
          <w:lang w:eastAsia="es-CO"/>
        </w:rPr>
      </w:pPr>
    </w:p>
    <w:p w14:paraId="74550264" w14:textId="223DD190" w:rsidR="00D617C9" w:rsidRPr="00B80D1D" w:rsidRDefault="00D617C9" w:rsidP="00D617C9">
      <w:pPr>
        <w:spacing w:after="0" w:line="360" w:lineRule="auto"/>
        <w:jc w:val="both"/>
        <w:rPr>
          <w:rFonts w:ascii="Times New Roman" w:hAnsi="Times New Roman" w:cs="Times New Roman"/>
          <w:sz w:val="24"/>
          <w:szCs w:val="24"/>
          <w:lang w:val="es-CO"/>
        </w:rPr>
      </w:pPr>
      <w:r w:rsidRPr="00B80D1D">
        <w:rPr>
          <w:rFonts w:ascii="Times New Roman" w:hAnsi="Times New Roman" w:cs="Times New Roman"/>
          <w:sz w:val="24"/>
          <w:szCs w:val="24"/>
          <w:lang w:val="es-CO"/>
        </w:rPr>
        <w:t xml:space="preserve">En la </w:t>
      </w:r>
      <w:r w:rsidRPr="00B80D1D">
        <w:rPr>
          <w:rFonts w:ascii="Times New Roman" w:hAnsi="Times New Roman" w:cs="Times New Roman"/>
          <w:b/>
          <w:sz w:val="24"/>
          <w:szCs w:val="24"/>
          <w:lang w:val="es-CO"/>
        </w:rPr>
        <w:t xml:space="preserve">figura </w:t>
      </w:r>
      <w:r>
        <w:rPr>
          <w:rFonts w:ascii="Times New Roman" w:hAnsi="Times New Roman" w:cs="Times New Roman"/>
          <w:b/>
          <w:sz w:val="24"/>
          <w:szCs w:val="24"/>
          <w:lang w:val="es-CO"/>
        </w:rPr>
        <w:t>7</w:t>
      </w:r>
      <w:r w:rsidRPr="00B80D1D">
        <w:rPr>
          <w:rFonts w:ascii="Times New Roman" w:hAnsi="Times New Roman" w:cs="Times New Roman"/>
          <w:sz w:val="24"/>
          <w:szCs w:val="24"/>
          <w:lang w:val="es-CO"/>
        </w:rPr>
        <w:t xml:space="preserve"> </w:t>
      </w:r>
      <w:r w:rsidR="00D51AFF" w:rsidRPr="00B80D1D">
        <w:rPr>
          <w:rFonts w:ascii="Times New Roman" w:hAnsi="Times New Roman" w:cs="Times New Roman"/>
          <w:sz w:val="24"/>
          <w:szCs w:val="24"/>
          <w:lang w:val="es-CO"/>
        </w:rPr>
        <w:t>logramos</w:t>
      </w:r>
      <w:r w:rsidRPr="00B80D1D">
        <w:rPr>
          <w:rFonts w:ascii="Times New Roman" w:hAnsi="Times New Roman" w:cs="Times New Roman"/>
          <w:sz w:val="24"/>
          <w:szCs w:val="24"/>
          <w:lang w:val="es-CO"/>
        </w:rPr>
        <w:t xml:space="preserve"> </w:t>
      </w:r>
      <w:r>
        <w:rPr>
          <w:rFonts w:ascii="Times New Roman" w:hAnsi="Times New Roman" w:cs="Times New Roman"/>
          <w:sz w:val="24"/>
          <w:szCs w:val="24"/>
          <w:lang w:val="es-CO"/>
        </w:rPr>
        <w:t>observar</w:t>
      </w:r>
      <w:r w:rsidRPr="00B80D1D">
        <w:rPr>
          <w:rFonts w:ascii="Times New Roman" w:hAnsi="Times New Roman" w:cs="Times New Roman"/>
          <w:sz w:val="24"/>
          <w:szCs w:val="24"/>
          <w:lang w:val="es-CO"/>
        </w:rPr>
        <w:t xml:space="preserve"> los valores </w:t>
      </w:r>
      <w:r>
        <w:rPr>
          <w:rFonts w:ascii="Times New Roman" w:hAnsi="Times New Roman" w:cs="Times New Roman"/>
          <w:sz w:val="24"/>
          <w:szCs w:val="24"/>
          <w:lang w:val="es-CO"/>
        </w:rPr>
        <w:t>los porcentajes de dosis aplicadas para vacunación contra SARS-COV-2</w:t>
      </w:r>
      <w:r w:rsidRPr="00B80D1D">
        <w:rPr>
          <w:rFonts w:ascii="Times New Roman" w:hAnsi="Times New Roman" w:cs="Times New Roman"/>
          <w:sz w:val="24"/>
          <w:szCs w:val="24"/>
          <w:lang w:val="es-CO"/>
        </w:rPr>
        <w:t xml:space="preserve"> en</w:t>
      </w:r>
      <w:r>
        <w:rPr>
          <w:rFonts w:ascii="Times New Roman" w:hAnsi="Times New Roman" w:cs="Times New Roman"/>
          <w:sz w:val="24"/>
          <w:szCs w:val="24"/>
          <w:lang w:val="es-CO"/>
        </w:rPr>
        <w:t xml:space="preserve"> las entidades territoriales de</w:t>
      </w:r>
      <w:r w:rsidRPr="00B80D1D">
        <w:rPr>
          <w:rFonts w:ascii="Times New Roman" w:hAnsi="Times New Roman" w:cs="Times New Roman"/>
          <w:sz w:val="24"/>
          <w:szCs w:val="24"/>
          <w:lang w:val="es-CO"/>
        </w:rPr>
        <w:t xml:space="preserve"> Colombia, a</w:t>
      </w:r>
      <w:r>
        <w:rPr>
          <w:rFonts w:ascii="Times New Roman" w:hAnsi="Times New Roman" w:cs="Times New Roman"/>
          <w:sz w:val="24"/>
          <w:szCs w:val="24"/>
          <w:lang w:val="es-CO"/>
        </w:rPr>
        <w:t>l</w:t>
      </w:r>
      <w:r w:rsidRPr="00B80D1D">
        <w:rPr>
          <w:rFonts w:ascii="Times New Roman" w:hAnsi="Times New Roman" w:cs="Times New Roman"/>
          <w:sz w:val="24"/>
          <w:szCs w:val="24"/>
          <w:lang w:val="es-CO"/>
        </w:rPr>
        <w:t xml:space="preserve"> </w:t>
      </w:r>
      <w:r>
        <w:rPr>
          <w:rFonts w:ascii="Times New Roman" w:hAnsi="Times New Roman" w:cs="Times New Roman"/>
          <w:sz w:val="24"/>
          <w:szCs w:val="24"/>
          <w:lang w:val="es-CO"/>
        </w:rPr>
        <w:t>31</w:t>
      </w:r>
      <w:r w:rsidRPr="00B80D1D">
        <w:rPr>
          <w:rFonts w:ascii="Times New Roman" w:hAnsi="Times New Roman" w:cs="Times New Roman"/>
          <w:sz w:val="24"/>
          <w:szCs w:val="24"/>
          <w:lang w:val="es-CO"/>
        </w:rPr>
        <w:t xml:space="preserve"> de ju</w:t>
      </w:r>
      <w:r>
        <w:rPr>
          <w:rFonts w:ascii="Times New Roman" w:hAnsi="Times New Roman" w:cs="Times New Roman"/>
          <w:sz w:val="24"/>
          <w:szCs w:val="24"/>
          <w:lang w:val="es-CO"/>
        </w:rPr>
        <w:t>l</w:t>
      </w:r>
      <w:r w:rsidRPr="00B80D1D">
        <w:rPr>
          <w:rFonts w:ascii="Times New Roman" w:hAnsi="Times New Roman" w:cs="Times New Roman"/>
          <w:sz w:val="24"/>
          <w:szCs w:val="24"/>
          <w:lang w:val="es-CO"/>
        </w:rPr>
        <w:t>io</w:t>
      </w:r>
      <w:r>
        <w:rPr>
          <w:rFonts w:ascii="Times New Roman" w:hAnsi="Times New Roman" w:cs="Times New Roman"/>
          <w:sz w:val="24"/>
          <w:szCs w:val="24"/>
          <w:lang w:val="es-CO"/>
        </w:rPr>
        <w:t xml:space="preserve"> de </w:t>
      </w:r>
      <w:r w:rsidRPr="00B80D1D">
        <w:rPr>
          <w:rFonts w:ascii="Times New Roman" w:hAnsi="Times New Roman" w:cs="Times New Roman"/>
          <w:sz w:val="24"/>
          <w:szCs w:val="24"/>
          <w:lang w:val="es-CO"/>
        </w:rPr>
        <w:t xml:space="preserve">2021. En ella se puede concluir que </w:t>
      </w:r>
      <w:r>
        <w:rPr>
          <w:rFonts w:ascii="Times New Roman" w:hAnsi="Times New Roman" w:cs="Times New Roman"/>
          <w:sz w:val="24"/>
          <w:szCs w:val="24"/>
          <w:lang w:val="es-CO"/>
        </w:rPr>
        <w:t xml:space="preserve">las entidades territoriales </w:t>
      </w:r>
      <w:r w:rsidRPr="00B80D1D">
        <w:rPr>
          <w:rFonts w:ascii="Times New Roman" w:hAnsi="Times New Roman" w:cs="Times New Roman"/>
          <w:sz w:val="24"/>
          <w:szCs w:val="24"/>
          <w:lang w:val="es-CO"/>
        </w:rPr>
        <w:t>con mayor número</w:t>
      </w:r>
      <w:r>
        <w:rPr>
          <w:rFonts w:ascii="Times New Roman" w:hAnsi="Times New Roman" w:cs="Times New Roman"/>
          <w:sz w:val="24"/>
          <w:szCs w:val="24"/>
          <w:lang w:val="es-CO"/>
        </w:rPr>
        <w:t xml:space="preserve"> de porcentaje dosis aplicadas de vacunación </w:t>
      </w:r>
      <w:r w:rsidRPr="00B80D1D">
        <w:rPr>
          <w:rFonts w:ascii="Times New Roman" w:hAnsi="Times New Roman" w:cs="Times New Roman"/>
          <w:sz w:val="24"/>
          <w:szCs w:val="24"/>
          <w:lang w:val="es-CO"/>
        </w:rPr>
        <w:t xml:space="preserve">son: </w:t>
      </w:r>
      <w:r>
        <w:rPr>
          <w:rFonts w:ascii="Times New Roman" w:hAnsi="Times New Roman" w:cs="Times New Roman"/>
          <w:sz w:val="24"/>
          <w:szCs w:val="24"/>
          <w:lang w:val="es-CO"/>
        </w:rPr>
        <w:t>Boyacá (92,85), Buenaventura</w:t>
      </w:r>
      <w:r w:rsidRPr="00497E24">
        <w:rPr>
          <w:rFonts w:ascii="Times New Roman" w:hAnsi="Times New Roman" w:cs="Times New Roman"/>
          <w:sz w:val="24"/>
          <w:szCs w:val="24"/>
          <w:lang w:val="es-CO"/>
        </w:rPr>
        <w:t xml:space="preserve"> (</w:t>
      </w:r>
      <w:r>
        <w:rPr>
          <w:rFonts w:ascii="Times New Roman" w:hAnsi="Times New Roman" w:cs="Times New Roman"/>
          <w:sz w:val="24"/>
          <w:szCs w:val="24"/>
          <w:lang w:val="es-CO"/>
        </w:rPr>
        <w:t>92,82</w:t>
      </w:r>
      <w:r w:rsidRPr="00497E24">
        <w:rPr>
          <w:rFonts w:ascii="Times New Roman" w:hAnsi="Times New Roman" w:cs="Times New Roman"/>
          <w:sz w:val="24"/>
          <w:szCs w:val="24"/>
          <w:lang w:val="es-CO"/>
        </w:rPr>
        <w:t xml:space="preserve">), </w:t>
      </w:r>
      <w:r>
        <w:rPr>
          <w:rFonts w:ascii="Times New Roman" w:hAnsi="Times New Roman" w:cs="Times New Roman"/>
          <w:sz w:val="24"/>
          <w:szCs w:val="24"/>
          <w:lang w:val="es-CO"/>
        </w:rPr>
        <w:t>Amazonas (89,03), Cundinamarca</w:t>
      </w:r>
      <w:r w:rsidRPr="00B80D1D">
        <w:rPr>
          <w:rFonts w:ascii="Times New Roman" w:hAnsi="Times New Roman" w:cs="Times New Roman"/>
          <w:sz w:val="24"/>
          <w:szCs w:val="24"/>
          <w:lang w:val="es-CO"/>
        </w:rPr>
        <w:t xml:space="preserve"> (</w:t>
      </w:r>
      <w:r>
        <w:rPr>
          <w:rFonts w:ascii="Times New Roman" w:hAnsi="Times New Roman" w:cs="Times New Roman"/>
          <w:sz w:val="24"/>
          <w:szCs w:val="24"/>
          <w:lang w:val="es-CO"/>
        </w:rPr>
        <w:t>88,22</w:t>
      </w:r>
      <w:r w:rsidRPr="00B80D1D">
        <w:rPr>
          <w:rFonts w:ascii="Times New Roman" w:hAnsi="Times New Roman" w:cs="Times New Roman"/>
          <w:sz w:val="24"/>
          <w:szCs w:val="24"/>
          <w:lang w:val="es-CO"/>
        </w:rPr>
        <w:t xml:space="preserve">), </w:t>
      </w:r>
      <w:r>
        <w:rPr>
          <w:rFonts w:ascii="Times New Roman" w:hAnsi="Times New Roman" w:cs="Times New Roman"/>
          <w:sz w:val="24"/>
          <w:szCs w:val="24"/>
          <w:lang w:val="es-CO"/>
        </w:rPr>
        <w:t xml:space="preserve">y Nariño (87), y las entidades territoriales </w:t>
      </w:r>
      <w:r w:rsidRPr="00B80D1D">
        <w:rPr>
          <w:rFonts w:ascii="Times New Roman" w:hAnsi="Times New Roman" w:cs="Times New Roman"/>
          <w:sz w:val="24"/>
          <w:szCs w:val="24"/>
          <w:lang w:val="es-CO"/>
        </w:rPr>
        <w:t>con menor número</w:t>
      </w:r>
      <w:r>
        <w:rPr>
          <w:rFonts w:ascii="Times New Roman" w:hAnsi="Times New Roman" w:cs="Times New Roman"/>
          <w:sz w:val="24"/>
          <w:szCs w:val="24"/>
          <w:lang w:val="es-CO"/>
        </w:rPr>
        <w:t xml:space="preserve"> de porcentaje dosis aplicadas de vacunación </w:t>
      </w:r>
      <w:r w:rsidRPr="00B80D1D">
        <w:rPr>
          <w:rFonts w:ascii="Times New Roman" w:hAnsi="Times New Roman" w:cs="Times New Roman"/>
          <w:sz w:val="24"/>
          <w:szCs w:val="24"/>
          <w:lang w:val="es-CO"/>
        </w:rPr>
        <w:t>son:</w:t>
      </w:r>
      <w:r>
        <w:rPr>
          <w:rFonts w:ascii="Times New Roman" w:hAnsi="Times New Roman" w:cs="Times New Roman"/>
          <w:sz w:val="24"/>
          <w:szCs w:val="24"/>
          <w:lang w:val="es-CO"/>
        </w:rPr>
        <w:t xml:space="preserve"> Cauca</w:t>
      </w:r>
      <w:r w:rsidRPr="00B80D1D">
        <w:rPr>
          <w:rFonts w:ascii="Times New Roman" w:hAnsi="Times New Roman" w:cs="Times New Roman"/>
          <w:sz w:val="24"/>
          <w:szCs w:val="24"/>
          <w:lang w:val="es-CO"/>
        </w:rPr>
        <w:t xml:space="preserve"> (</w:t>
      </w:r>
      <w:r>
        <w:rPr>
          <w:rFonts w:ascii="Times New Roman" w:hAnsi="Times New Roman" w:cs="Times New Roman"/>
          <w:sz w:val="24"/>
          <w:szCs w:val="24"/>
          <w:lang w:val="es-CO"/>
        </w:rPr>
        <w:t>65,28</w:t>
      </w:r>
      <w:r w:rsidRPr="00B80D1D">
        <w:rPr>
          <w:rFonts w:ascii="Times New Roman" w:hAnsi="Times New Roman" w:cs="Times New Roman"/>
          <w:sz w:val="24"/>
          <w:szCs w:val="24"/>
          <w:lang w:val="es-CO"/>
        </w:rPr>
        <w:t>)</w:t>
      </w:r>
      <w:r>
        <w:rPr>
          <w:rFonts w:ascii="Times New Roman" w:hAnsi="Times New Roman" w:cs="Times New Roman"/>
          <w:sz w:val="24"/>
          <w:szCs w:val="24"/>
          <w:lang w:val="es-CO"/>
        </w:rPr>
        <w:t>,</w:t>
      </w:r>
      <w:r w:rsidRPr="00B80D1D">
        <w:rPr>
          <w:rFonts w:ascii="Times New Roman" w:hAnsi="Times New Roman" w:cs="Times New Roman"/>
          <w:sz w:val="24"/>
          <w:szCs w:val="24"/>
          <w:lang w:val="es-CO"/>
        </w:rPr>
        <w:t xml:space="preserve"> </w:t>
      </w:r>
      <w:r>
        <w:rPr>
          <w:rFonts w:ascii="Times New Roman" w:hAnsi="Times New Roman" w:cs="Times New Roman"/>
          <w:sz w:val="24"/>
          <w:szCs w:val="24"/>
          <w:lang w:val="es-CO"/>
        </w:rPr>
        <w:t xml:space="preserve">Putumayo </w:t>
      </w:r>
      <w:r w:rsidRPr="00B80D1D">
        <w:rPr>
          <w:rFonts w:ascii="Times New Roman" w:hAnsi="Times New Roman" w:cs="Times New Roman"/>
          <w:sz w:val="24"/>
          <w:szCs w:val="24"/>
          <w:lang w:val="es-CO"/>
        </w:rPr>
        <w:t>(</w:t>
      </w:r>
      <w:r>
        <w:rPr>
          <w:rFonts w:ascii="Times New Roman" w:hAnsi="Times New Roman" w:cs="Times New Roman"/>
          <w:sz w:val="24"/>
          <w:szCs w:val="24"/>
          <w:lang w:val="es-CO"/>
        </w:rPr>
        <w:t>66,66</w:t>
      </w:r>
      <w:r w:rsidRPr="00B80D1D">
        <w:rPr>
          <w:rFonts w:ascii="Times New Roman" w:hAnsi="Times New Roman" w:cs="Times New Roman"/>
          <w:sz w:val="24"/>
          <w:szCs w:val="24"/>
          <w:lang w:val="es-CO"/>
        </w:rPr>
        <w:t xml:space="preserve">), </w:t>
      </w:r>
      <w:r>
        <w:rPr>
          <w:rFonts w:ascii="Times New Roman" w:hAnsi="Times New Roman" w:cs="Times New Roman"/>
          <w:sz w:val="24"/>
          <w:szCs w:val="24"/>
          <w:lang w:val="es-CO"/>
        </w:rPr>
        <w:t>Chocó</w:t>
      </w:r>
      <w:r w:rsidRPr="00B80D1D">
        <w:rPr>
          <w:rFonts w:ascii="Times New Roman" w:hAnsi="Times New Roman" w:cs="Times New Roman"/>
          <w:sz w:val="24"/>
          <w:szCs w:val="24"/>
          <w:lang w:val="es-CO"/>
        </w:rPr>
        <w:t xml:space="preserve"> (</w:t>
      </w:r>
      <w:r>
        <w:rPr>
          <w:rFonts w:ascii="Times New Roman" w:hAnsi="Times New Roman" w:cs="Times New Roman"/>
          <w:sz w:val="24"/>
          <w:szCs w:val="24"/>
          <w:lang w:val="es-CO"/>
        </w:rPr>
        <w:t xml:space="preserve">67,46), Magdalena (77,08), y Sucre (77,21). </w:t>
      </w:r>
    </w:p>
    <w:p w14:paraId="7C49A4FE" w14:textId="77777777" w:rsidR="00D617C9" w:rsidRPr="00B80D1D" w:rsidRDefault="00D617C9" w:rsidP="00D617C9">
      <w:pPr>
        <w:tabs>
          <w:tab w:val="left" w:pos="3045"/>
        </w:tabs>
        <w:spacing w:after="0" w:line="360" w:lineRule="auto"/>
        <w:jc w:val="both"/>
        <w:rPr>
          <w:rFonts w:ascii="Times New Roman" w:hAnsi="Times New Roman" w:cs="Times New Roman"/>
          <w:sz w:val="24"/>
          <w:szCs w:val="24"/>
          <w:lang w:val="es-CO"/>
        </w:rPr>
      </w:pPr>
      <w:r>
        <w:rPr>
          <w:rFonts w:ascii="Times New Roman" w:hAnsi="Times New Roman" w:cs="Times New Roman"/>
          <w:sz w:val="24"/>
          <w:szCs w:val="24"/>
          <w:lang w:val="es-CO"/>
        </w:rPr>
        <w:tab/>
      </w:r>
      <w:r>
        <w:rPr>
          <w:noProof/>
        </w:rPr>
        <w:drawing>
          <wp:inline distT="0" distB="0" distL="0" distR="0" wp14:anchorId="7880E979" wp14:editId="0489D061">
            <wp:extent cx="5612130" cy="5955665"/>
            <wp:effectExtent l="0" t="0" r="7620" b="6985"/>
            <wp:docPr id="7" name="Gráfico 7">
              <a:extLst xmlns:a="http://schemas.openxmlformats.org/drawingml/2006/main">
                <a:ext uri="{FF2B5EF4-FFF2-40B4-BE49-F238E27FC236}">
                  <a16:creationId xmlns:a16="http://schemas.microsoft.com/office/drawing/2014/main" id="{066CB07C-14BA-45D7-86BB-D7186D5C57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562BD3D" w14:textId="61090E1E" w:rsidR="008224E1" w:rsidRPr="007A3EAF" w:rsidRDefault="00D617C9" w:rsidP="00D617C9">
      <w:pPr>
        <w:jc w:val="center"/>
        <w:rPr>
          <w:lang w:val="es-CO"/>
        </w:rPr>
      </w:pPr>
      <w:r w:rsidRPr="00271A61">
        <w:rPr>
          <w:rFonts w:ascii="Times New Roman" w:hAnsi="Times New Roman" w:cs="Times New Roman"/>
          <w:b/>
          <w:bCs/>
          <w:sz w:val="20"/>
          <w:szCs w:val="20"/>
          <w:lang w:val="es-CO"/>
        </w:rPr>
        <w:t xml:space="preserve">Figura </w:t>
      </w:r>
      <w:r>
        <w:rPr>
          <w:rFonts w:ascii="Times New Roman" w:hAnsi="Times New Roman" w:cs="Times New Roman"/>
          <w:b/>
          <w:bCs/>
          <w:sz w:val="20"/>
          <w:szCs w:val="20"/>
          <w:lang w:val="es-CO"/>
        </w:rPr>
        <w:t>7</w:t>
      </w:r>
      <w:r w:rsidRPr="00271A61">
        <w:rPr>
          <w:rFonts w:ascii="Times New Roman" w:hAnsi="Times New Roman" w:cs="Times New Roman"/>
          <w:b/>
          <w:bCs/>
          <w:sz w:val="20"/>
          <w:szCs w:val="20"/>
          <w:lang w:val="es-CO"/>
        </w:rPr>
        <w:t xml:space="preserve">. </w:t>
      </w:r>
      <w:r>
        <w:rPr>
          <w:rFonts w:ascii="Times New Roman" w:hAnsi="Times New Roman" w:cs="Times New Roman"/>
          <w:sz w:val="20"/>
          <w:szCs w:val="20"/>
          <w:lang w:val="es-CO"/>
        </w:rPr>
        <w:t xml:space="preserve">Porcentaje de dosis aplicadas </w:t>
      </w:r>
      <w:r w:rsidRPr="00630DFA">
        <w:rPr>
          <w:rFonts w:ascii="Times New Roman" w:hAnsi="Times New Roman" w:cs="Times New Roman"/>
          <w:sz w:val="20"/>
          <w:szCs w:val="20"/>
          <w:lang w:val="es-CO"/>
        </w:rPr>
        <w:t>por entidad territorial</w:t>
      </w:r>
      <w:r w:rsidRPr="00271A61">
        <w:rPr>
          <w:rFonts w:ascii="Times New Roman" w:hAnsi="Times New Roman" w:cs="Times New Roman"/>
          <w:sz w:val="20"/>
          <w:szCs w:val="20"/>
          <w:lang w:val="es-CO"/>
        </w:rPr>
        <w:t xml:space="preserve">. </w:t>
      </w:r>
      <w:r w:rsidRPr="00271A61">
        <w:rPr>
          <w:rFonts w:ascii="Times New Roman" w:hAnsi="Times New Roman" w:cs="Times New Roman"/>
          <w:b/>
          <w:bCs/>
          <w:sz w:val="20"/>
          <w:szCs w:val="20"/>
          <w:lang w:val="es-CO"/>
        </w:rPr>
        <w:t>Fuente</w:t>
      </w:r>
      <w:r w:rsidRPr="00271A61">
        <w:rPr>
          <w:rFonts w:ascii="Times New Roman" w:hAnsi="Times New Roman" w:cs="Times New Roman"/>
          <w:sz w:val="20"/>
          <w:szCs w:val="20"/>
          <w:lang w:val="es-CO"/>
        </w:rPr>
        <w:t>: el autor</w:t>
      </w:r>
    </w:p>
    <w:p w14:paraId="0152D39B" w14:textId="77777777" w:rsidR="000012BD" w:rsidRDefault="000012BD" w:rsidP="00E1496D">
      <w:pPr>
        <w:pStyle w:val="Ttulo2"/>
        <w:rPr>
          <w:rFonts w:ascii="Times New Roman" w:hAnsi="Times New Roman" w:cs="Times New Roman"/>
          <w:b/>
          <w:bCs/>
          <w:color w:val="auto"/>
          <w:sz w:val="24"/>
          <w:szCs w:val="24"/>
        </w:rPr>
      </w:pPr>
    </w:p>
    <w:p w14:paraId="5F7FB0F9" w14:textId="1EFC1E9B" w:rsidR="00D617C9" w:rsidRDefault="00D617C9" w:rsidP="00E1496D">
      <w:pPr>
        <w:pStyle w:val="Ttulo2"/>
        <w:rPr>
          <w:rFonts w:ascii="Times New Roman" w:hAnsi="Times New Roman" w:cs="Times New Roman"/>
          <w:b/>
          <w:bCs/>
          <w:color w:val="auto"/>
          <w:sz w:val="24"/>
          <w:szCs w:val="24"/>
        </w:rPr>
      </w:pPr>
    </w:p>
    <w:p w14:paraId="492EF32E" w14:textId="77777777" w:rsidR="00DF55B3" w:rsidRPr="00DF55B3" w:rsidRDefault="00DF55B3" w:rsidP="00DF55B3">
      <w:pPr>
        <w:rPr>
          <w:lang w:val="es-CO"/>
        </w:rPr>
      </w:pPr>
    </w:p>
    <w:p w14:paraId="5CD8FAA9" w14:textId="43383CC2" w:rsidR="00E1496D" w:rsidRPr="00011922" w:rsidRDefault="00E1496D" w:rsidP="00E1496D">
      <w:pPr>
        <w:pStyle w:val="Ttulo2"/>
        <w:rPr>
          <w:rFonts w:ascii="Times New Roman" w:hAnsi="Times New Roman" w:cs="Times New Roman"/>
          <w:b/>
          <w:bCs/>
          <w:color w:val="auto"/>
          <w:sz w:val="24"/>
          <w:szCs w:val="24"/>
        </w:rPr>
      </w:pPr>
      <w:r w:rsidRPr="00011922">
        <w:rPr>
          <w:rFonts w:ascii="Times New Roman" w:hAnsi="Times New Roman" w:cs="Times New Roman"/>
          <w:b/>
          <w:bCs/>
          <w:color w:val="auto"/>
          <w:sz w:val="24"/>
          <w:szCs w:val="24"/>
        </w:rPr>
        <w:t xml:space="preserve">Conclusiones </w:t>
      </w:r>
    </w:p>
    <w:p w14:paraId="0B1506E1" w14:textId="77777777" w:rsidR="00E1496D" w:rsidRDefault="00E1496D" w:rsidP="00E1496D">
      <w:pPr>
        <w:autoSpaceDE w:val="0"/>
        <w:autoSpaceDN w:val="0"/>
        <w:adjustRightInd w:val="0"/>
        <w:spacing w:after="0" w:line="400" w:lineRule="atLeast"/>
        <w:jc w:val="both"/>
        <w:rPr>
          <w:rFonts w:ascii="Times New Roman" w:hAnsi="Times New Roman" w:cs="Times New Roman"/>
          <w:sz w:val="24"/>
          <w:szCs w:val="24"/>
          <w:lang w:val="es-CO"/>
        </w:rPr>
      </w:pPr>
    </w:p>
    <w:p w14:paraId="31C4D842" w14:textId="1DA39C20" w:rsidR="006B48DD" w:rsidRDefault="00E1496D" w:rsidP="006B48DD">
      <w:pPr>
        <w:spacing w:line="360" w:lineRule="auto"/>
        <w:jc w:val="both"/>
        <w:rPr>
          <w:rFonts w:ascii="Times New Roman" w:hAnsi="Times New Roman" w:cs="Times New Roman"/>
          <w:sz w:val="24"/>
          <w:szCs w:val="24"/>
          <w:lang w:val="es-CO"/>
        </w:rPr>
      </w:pPr>
      <w:r w:rsidRPr="007A5CD3">
        <w:rPr>
          <w:rFonts w:ascii="Times New Roman" w:eastAsia="Times New Roman" w:hAnsi="Times New Roman" w:cs="Times New Roman"/>
          <w:sz w:val="24"/>
          <w:szCs w:val="24"/>
          <w:lang w:val="es-CO" w:eastAsia="es-CO"/>
        </w:rPr>
        <w:t xml:space="preserve">Se </w:t>
      </w:r>
      <w:r w:rsidR="001C12EB" w:rsidRPr="007A5CD3">
        <w:rPr>
          <w:rFonts w:ascii="Times New Roman" w:eastAsia="Times New Roman" w:hAnsi="Times New Roman" w:cs="Times New Roman"/>
          <w:sz w:val="24"/>
          <w:szCs w:val="24"/>
          <w:lang w:val="es-CO" w:eastAsia="es-CO"/>
        </w:rPr>
        <w:t>estableció</w:t>
      </w:r>
      <w:r w:rsidRPr="007A5CD3">
        <w:rPr>
          <w:rFonts w:ascii="Times New Roman" w:eastAsia="Times New Roman" w:hAnsi="Times New Roman" w:cs="Times New Roman"/>
          <w:sz w:val="24"/>
          <w:szCs w:val="24"/>
          <w:lang w:val="es-CO" w:eastAsia="es-CO"/>
        </w:rPr>
        <w:t xml:space="preserve"> </w:t>
      </w:r>
      <w:r w:rsidRPr="007A5CD3">
        <w:rPr>
          <w:rFonts w:ascii="Times New Roman" w:hAnsi="Times New Roman" w:cs="Times New Roman"/>
          <w:sz w:val="24"/>
          <w:szCs w:val="24"/>
          <w:lang w:val="es-CO"/>
        </w:rPr>
        <w:t>que</w:t>
      </w:r>
      <w:r>
        <w:rPr>
          <w:rFonts w:ascii="Times New Roman" w:hAnsi="Times New Roman" w:cs="Times New Roman"/>
          <w:sz w:val="24"/>
          <w:szCs w:val="24"/>
          <w:lang w:val="es-CO"/>
        </w:rPr>
        <w:t xml:space="preserve"> al </w:t>
      </w:r>
      <w:r w:rsidR="00995914">
        <w:rPr>
          <w:rFonts w:ascii="Times New Roman" w:hAnsi="Times New Roman" w:cs="Times New Roman"/>
          <w:sz w:val="24"/>
          <w:szCs w:val="24"/>
          <w:lang w:val="es-CO"/>
        </w:rPr>
        <w:t>5</w:t>
      </w:r>
      <w:r>
        <w:rPr>
          <w:rFonts w:ascii="Times New Roman" w:hAnsi="Times New Roman" w:cs="Times New Roman"/>
          <w:sz w:val="24"/>
          <w:szCs w:val="24"/>
          <w:lang w:val="es-CO"/>
        </w:rPr>
        <w:t xml:space="preserve"> de </w:t>
      </w:r>
      <w:r w:rsidR="00995914">
        <w:rPr>
          <w:rFonts w:ascii="Times New Roman" w:hAnsi="Times New Roman" w:cs="Times New Roman"/>
          <w:sz w:val="24"/>
          <w:szCs w:val="24"/>
          <w:lang w:val="es-CO"/>
        </w:rPr>
        <w:t>agosto</w:t>
      </w:r>
      <w:r>
        <w:rPr>
          <w:rFonts w:ascii="Times New Roman" w:hAnsi="Times New Roman" w:cs="Times New Roman"/>
          <w:sz w:val="24"/>
          <w:szCs w:val="24"/>
          <w:lang w:val="es-CO"/>
        </w:rPr>
        <w:t xml:space="preserve"> de 2021</w:t>
      </w:r>
      <w:r w:rsidRPr="007A5CD3">
        <w:rPr>
          <w:rFonts w:ascii="Times New Roman" w:hAnsi="Times New Roman" w:cs="Times New Roman"/>
          <w:sz w:val="24"/>
          <w:szCs w:val="24"/>
          <w:lang w:val="es-CO"/>
        </w:rPr>
        <w:t xml:space="preserve"> </w:t>
      </w:r>
      <w:r>
        <w:rPr>
          <w:rFonts w:ascii="Times New Roman" w:hAnsi="Times New Roman" w:cs="Times New Roman"/>
          <w:sz w:val="24"/>
          <w:szCs w:val="24"/>
          <w:lang w:val="es-CO"/>
        </w:rPr>
        <w:t>las entidades territoriales</w:t>
      </w:r>
      <w:r w:rsidR="00077630">
        <w:rPr>
          <w:rFonts w:ascii="Times New Roman" w:hAnsi="Times New Roman" w:cs="Times New Roman"/>
          <w:sz w:val="24"/>
          <w:szCs w:val="24"/>
          <w:lang w:val="es-CO"/>
        </w:rPr>
        <w:t xml:space="preserve"> de Colombia </w:t>
      </w:r>
      <w:r w:rsidR="00D436E3" w:rsidRPr="00B80D1D">
        <w:rPr>
          <w:rFonts w:ascii="Times New Roman" w:hAnsi="Times New Roman" w:cs="Times New Roman"/>
          <w:sz w:val="24"/>
          <w:szCs w:val="24"/>
          <w:lang w:val="es-CO"/>
        </w:rPr>
        <w:t>con mayor número</w:t>
      </w:r>
      <w:r w:rsidR="00D436E3">
        <w:rPr>
          <w:rFonts w:ascii="Times New Roman" w:hAnsi="Times New Roman" w:cs="Times New Roman"/>
          <w:sz w:val="24"/>
          <w:szCs w:val="24"/>
          <w:lang w:val="es-CO"/>
        </w:rPr>
        <w:t xml:space="preserve"> dosis asignadas para la vacunación</w:t>
      </w:r>
      <w:r w:rsidR="005B0D80">
        <w:rPr>
          <w:rFonts w:ascii="Times New Roman" w:hAnsi="Times New Roman" w:cs="Times New Roman"/>
          <w:sz w:val="24"/>
          <w:szCs w:val="24"/>
          <w:lang w:val="es-CO"/>
        </w:rPr>
        <w:t xml:space="preserve"> contra SARS-Cov-2</w:t>
      </w:r>
      <w:r w:rsidR="00D436E3">
        <w:rPr>
          <w:rFonts w:ascii="Times New Roman" w:hAnsi="Times New Roman" w:cs="Times New Roman"/>
          <w:sz w:val="24"/>
          <w:szCs w:val="24"/>
          <w:lang w:val="es-CO"/>
        </w:rPr>
        <w:t xml:space="preserve"> </w:t>
      </w:r>
      <w:r w:rsidR="00077630">
        <w:rPr>
          <w:rFonts w:ascii="Times New Roman" w:hAnsi="Times New Roman" w:cs="Times New Roman"/>
          <w:sz w:val="24"/>
          <w:szCs w:val="24"/>
          <w:lang w:val="es-CO"/>
        </w:rPr>
        <w:t>fueron</w:t>
      </w:r>
      <w:r w:rsidR="00D436E3" w:rsidRPr="00B80D1D">
        <w:rPr>
          <w:rFonts w:ascii="Times New Roman" w:hAnsi="Times New Roman" w:cs="Times New Roman"/>
          <w:sz w:val="24"/>
          <w:szCs w:val="24"/>
          <w:lang w:val="es-CO"/>
        </w:rPr>
        <w:t xml:space="preserve">: </w:t>
      </w:r>
      <w:r w:rsidR="006B48DD" w:rsidRPr="00011D21">
        <w:rPr>
          <w:rFonts w:ascii="Times New Roman" w:hAnsi="Times New Roman" w:cs="Times New Roman"/>
          <w:sz w:val="24"/>
          <w:szCs w:val="24"/>
          <w:lang w:val="es-CO"/>
        </w:rPr>
        <w:t>las entidades territoriales con mayor número vacunas aplicadas</w:t>
      </w:r>
      <w:r w:rsidR="006B48DD">
        <w:rPr>
          <w:rFonts w:ascii="Times New Roman" w:hAnsi="Times New Roman" w:cs="Times New Roman"/>
          <w:sz w:val="24"/>
          <w:szCs w:val="24"/>
          <w:lang w:val="es-CO"/>
        </w:rPr>
        <w:t xml:space="preserve"> para primera dosis, segunda dosis y monodosis</w:t>
      </w:r>
      <w:r w:rsidR="006B48DD" w:rsidRPr="00011D21">
        <w:rPr>
          <w:rFonts w:ascii="Times New Roman" w:hAnsi="Times New Roman" w:cs="Times New Roman"/>
          <w:sz w:val="24"/>
          <w:szCs w:val="24"/>
          <w:lang w:val="es-CO"/>
        </w:rPr>
        <w:t xml:space="preserve"> </w:t>
      </w:r>
      <w:r w:rsidR="006B48DD">
        <w:rPr>
          <w:rFonts w:ascii="Times New Roman" w:hAnsi="Times New Roman" w:cs="Times New Roman"/>
          <w:sz w:val="24"/>
          <w:szCs w:val="24"/>
          <w:lang w:val="es-CO"/>
        </w:rPr>
        <w:t>estuvieron</w:t>
      </w:r>
      <w:r w:rsidR="006B48DD" w:rsidRPr="00011D21">
        <w:rPr>
          <w:rFonts w:ascii="Times New Roman" w:hAnsi="Times New Roman" w:cs="Times New Roman"/>
          <w:sz w:val="24"/>
          <w:szCs w:val="24"/>
          <w:lang w:val="es-CO"/>
        </w:rPr>
        <w:t>: Bogotá (</w:t>
      </w:r>
      <w:r w:rsidR="006B48DD" w:rsidRPr="00011D21">
        <w:rPr>
          <w:rFonts w:ascii="Times New Roman" w:eastAsia="Times New Roman" w:hAnsi="Times New Roman" w:cs="Times New Roman"/>
          <w:color w:val="000000"/>
          <w:sz w:val="24"/>
          <w:szCs w:val="24"/>
          <w:lang w:val="es-CO" w:eastAsia="es-CO"/>
        </w:rPr>
        <w:t>3’345.545-2’423.939-400.150</w:t>
      </w:r>
      <w:r w:rsidR="006B48DD" w:rsidRPr="00011D21">
        <w:rPr>
          <w:rFonts w:ascii="Times New Roman" w:hAnsi="Times New Roman" w:cs="Times New Roman"/>
          <w:sz w:val="24"/>
          <w:szCs w:val="24"/>
          <w:lang w:val="es-CO"/>
        </w:rPr>
        <w:t>), Antioquia (</w:t>
      </w:r>
      <w:r w:rsidR="006B48DD" w:rsidRPr="00011D21">
        <w:rPr>
          <w:rFonts w:ascii="Times New Roman" w:eastAsia="Times New Roman" w:hAnsi="Times New Roman" w:cs="Times New Roman"/>
          <w:color w:val="000000"/>
          <w:sz w:val="24"/>
          <w:szCs w:val="24"/>
          <w:lang w:val="es-CO" w:eastAsia="es-CO"/>
        </w:rPr>
        <w:t>2’684.291-1’880.552-378.700</w:t>
      </w:r>
      <w:r w:rsidR="006B48DD" w:rsidRPr="00011D21">
        <w:rPr>
          <w:rFonts w:ascii="Times New Roman" w:hAnsi="Times New Roman" w:cs="Times New Roman"/>
          <w:sz w:val="24"/>
          <w:szCs w:val="24"/>
          <w:lang w:val="es-CO"/>
        </w:rPr>
        <w:t>), Valle del Cauca (</w:t>
      </w:r>
      <w:r w:rsidR="006B48DD" w:rsidRPr="00011D21">
        <w:rPr>
          <w:rFonts w:ascii="Times New Roman" w:eastAsia="Times New Roman" w:hAnsi="Times New Roman" w:cs="Times New Roman"/>
          <w:color w:val="000000"/>
          <w:sz w:val="24"/>
          <w:szCs w:val="24"/>
          <w:lang w:val="es-CO" w:eastAsia="es-CO"/>
        </w:rPr>
        <w:t>1’667.066-1’137.959-132.550</w:t>
      </w:r>
      <w:r w:rsidR="006B48DD" w:rsidRPr="00011D21">
        <w:rPr>
          <w:rFonts w:ascii="Times New Roman" w:hAnsi="Times New Roman" w:cs="Times New Roman"/>
          <w:sz w:val="24"/>
          <w:szCs w:val="24"/>
          <w:lang w:val="es-CO"/>
        </w:rPr>
        <w:t>), Cundinamarca (</w:t>
      </w:r>
      <w:r w:rsidR="006B48DD" w:rsidRPr="00011D21">
        <w:rPr>
          <w:rFonts w:ascii="Times New Roman" w:eastAsia="Times New Roman" w:hAnsi="Times New Roman" w:cs="Times New Roman"/>
          <w:color w:val="000000"/>
          <w:sz w:val="24"/>
          <w:szCs w:val="24"/>
          <w:lang w:val="es-CO" w:eastAsia="es-CO"/>
        </w:rPr>
        <w:t>1’104.546-743.951-206.850</w:t>
      </w:r>
      <w:r w:rsidR="006B48DD" w:rsidRPr="00011D21">
        <w:rPr>
          <w:rFonts w:ascii="Times New Roman" w:hAnsi="Times New Roman" w:cs="Times New Roman"/>
          <w:sz w:val="24"/>
          <w:szCs w:val="24"/>
          <w:lang w:val="es-CO"/>
        </w:rPr>
        <w:t>), y Santander (</w:t>
      </w:r>
      <w:r w:rsidR="006B48DD" w:rsidRPr="00011D21">
        <w:rPr>
          <w:rFonts w:ascii="Times New Roman" w:eastAsia="Times New Roman" w:hAnsi="Times New Roman" w:cs="Times New Roman"/>
          <w:color w:val="000000"/>
          <w:sz w:val="24"/>
          <w:szCs w:val="24"/>
          <w:lang w:val="es-CO" w:eastAsia="es-CO"/>
        </w:rPr>
        <w:t>900.606-631.517-163.750)</w:t>
      </w:r>
      <w:r w:rsidR="006B48DD" w:rsidRPr="00011D21">
        <w:rPr>
          <w:rFonts w:ascii="Times New Roman" w:hAnsi="Times New Roman" w:cs="Times New Roman"/>
          <w:sz w:val="24"/>
          <w:szCs w:val="24"/>
          <w:lang w:val="es-CO"/>
        </w:rPr>
        <w:t xml:space="preserve">, y las entidades territoriales con menor número vacunas </w:t>
      </w:r>
      <w:r w:rsidR="00900C0C">
        <w:rPr>
          <w:rFonts w:ascii="Times New Roman" w:hAnsi="Times New Roman" w:cs="Times New Roman"/>
          <w:sz w:val="24"/>
          <w:szCs w:val="24"/>
          <w:lang w:val="es-CO"/>
        </w:rPr>
        <w:t xml:space="preserve">contra SARS-Cov-2 </w:t>
      </w:r>
      <w:r w:rsidR="006B48DD" w:rsidRPr="00011D21">
        <w:rPr>
          <w:rFonts w:ascii="Times New Roman" w:hAnsi="Times New Roman" w:cs="Times New Roman"/>
          <w:sz w:val="24"/>
          <w:szCs w:val="24"/>
          <w:lang w:val="es-CO"/>
        </w:rPr>
        <w:t>aplicadas</w:t>
      </w:r>
      <w:r w:rsidR="006B48DD">
        <w:rPr>
          <w:rFonts w:ascii="Times New Roman" w:hAnsi="Times New Roman" w:cs="Times New Roman"/>
          <w:sz w:val="24"/>
          <w:szCs w:val="24"/>
          <w:lang w:val="es-CO"/>
        </w:rPr>
        <w:t xml:space="preserve"> para primera dosis, segunda dosis y monodosis</w:t>
      </w:r>
      <w:r w:rsidR="006B48DD" w:rsidRPr="00011D21">
        <w:rPr>
          <w:rFonts w:ascii="Times New Roman" w:hAnsi="Times New Roman" w:cs="Times New Roman"/>
          <w:sz w:val="24"/>
          <w:szCs w:val="24"/>
          <w:lang w:val="es-CO"/>
        </w:rPr>
        <w:t xml:space="preserve"> </w:t>
      </w:r>
      <w:r w:rsidR="006B48DD">
        <w:rPr>
          <w:rFonts w:ascii="Times New Roman" w:hAnsi="Times New Roman" w:cs="Times New Roman"/>
          <w:sz w:val="24"/>
          <w:szCs w:val="24"/>
          <w:lang w:val="es-CO"/>
        </w:rPr>
        <w:t>estuvieron</w:t>
      </w:r>
      <w:r w:rsidR="006B48DD" w:rsidRPr="00011D21">
        <w:rPr>
          <w:rFonts w:ascii="Times New Roman" w:hAnsi="Times New Roman" w:cs="Times New Roman"/>
          <w:sz w:val="24"/>
          <w:szCs w:val="24"/>
          <w:lang w:val="es-CO"/>
        </w:rPr>
        <w:t>: Vaupés (</w:t>
      </w:r>
      <w:r w:rsidR="006B48DD" w:rsidRPr="00011D21">
        <w:rPr>
          <w:rFonts w:ascii="Times New Roman" w:eastAsia="Times New Roman" w:hAnsi="Times New Roman" w:cs="Times New Roman"/>
          <w:color w:val="000000"/>
          <w:sz w:val="24"/>
          <w:szCs w:val="24"/>
          <w:lang w:val="es-CO" w:eastAsia="es-CO"/>
        </w:rPr>
        <w:t>11</w:t>
      </w:r>
      <w:r w:rsidR="006B48DD">
        <w:rPr>
          <w:rFonts w:ascii="Times New Roman" w:eastAsia="Times New Roman" w:hAnsi="Times New Roman" w:cs="Times New Roman"/>
          <w:color w:val="000000"/>
          <w:sz w:val="24"/>
          <w:szCs w:val="24"/>
          <w:lang w:val="es-CO" w:eastAsia="es-CO"/>
        </w:rPr>
        <w:t>.</w:t>
      </w:r>
      <w:r w:rsidR="006B48DD" w:rsidRPr="00011D21">
        <w:rPr>
          <w:rFonts w:ascii="Times New Roman" w:eastAsia="Times New Roman" w:hAnsi="Times New Roman" w:cs="Times New Roman"/>
          <w:color w:val="000000"/>
          <w:sz w:val="24"/>
          <w:szCs w:val="24"/>
          <w:lang w:val="es-CO" w:eastAsia="es-CO"/>
        </w:rPr>
        <w:t>386-6</w:t>
      </w:r>
      <w:r w:rsidR="006B48DD">
        <w:rPr>
          <w:rFonts w:ascii="Times New Roman" w:eastAsia="Times New Roman" w:hAnsi="Times New Roman" w:cs="Times New Roman"/>
          <w:color w:val="000000"/>
          <w:sz w:val="24"/>
          <w:szCs w:val="24"/>
          <w:lang w:val="es-CO" w:eastAsia="es-CO"/>
        </w:rPr>
        <w:t>.</w:t>
      </w:r>
      <w:r w:rsidR="006B48DD" w:rsidRPr="00011D21">
        <w:rPr>
          <w:rFonts w:ascii="Times New Roman" w:eastAsia="Times New Roman" w:hAnsi="Times New Roman" w:cs="Times New Roman"/>
          <w:color w:val="000000"/>
          <w:sz w:val="24"/>
          <w:szCs w:val="24"/>
          <w:lang w:val="es-CO" w:eastAsia="es-CO"/>
        </w:rPr>
        <w:t>145-2</w:t>
      </w:r>
      <w:r w:rsidR="006B48DD">
        <w:rPr>
          <w:rFonts w:ascii="Times New Roman" w:eastAsia="Times New Roman" w:hAnsi="Times New Roman" w:cs="Times New Roman"/>
          <w:color w:val="000000"/>
          <w:sz w:val="24"/>
          <w:szCs w:val="24"/>
          <w:lang w:val="es-CO" w:eastAsia="es-CO"/>
        </w:rPr>
        <w:t>.</w:t>
      </w:r>
      <w:r w:rsidR="006B48DD" w:rsidRPr="00011D21">
        <w:rPr>
          <w:rFonts w:ascii="Times New Roman" w:eastAsia="Times New Roman" w:hAnsi="Times New Roman" w:cs="Times New Roman"/>
          <w:color w:val="000000"/>
          <w:sz w:val="24"/>
          <w:szCs w:val="24"/>
          <w:lang w:val="es-CO" w:eastAsia="es-CO"/>
        </w:rPr>
        <w:t>800)</w:t>
      </w:r>
      <w:r w:rsidR="006B48DD" w:rsidRPr="00011D21">
        <w:rPr>
          <w:rFonts w:ascii="Times New Roman" w:hAnsi="Times New Roman" w:cs="Times New Roman"/>
          <w:color w:val="ED7D31" w:themeColor="accent2"/>
          <w:sz w:val="24"/>
          <w:szCs w:val="24"/>
          <w:lang w:val="es-CO"/>
        </w:rPr>
        <w:t xml:space="preserve">, </w:t>
      </w:r>
      <w:r w:rsidR="006B48DD" w:rsidRPr="00011D21">
        <w:rPr>
          <w:rFonts w:ascii="Times New Roman" w:hAnsi="Times New Roman" w:cs="Times New Roman"/>
          <w:sz w:val="24"/>
          <w:szCs w:val="24"/>
          <w:lang w:val="es-CO"/>
        </w:rPr>
        <w:t>Vichada (</w:t>
      </w:r>
      <w:r w:rsidR="006B48DD" w:rsidRPr="00011D21">
        <w:rPr>
          <w:rFonts w:ascii="Times New Roman" w:eastAsia="Times New Roman" w:hAnsi="Times New Roman" w:cs="Times New Roman"/>
          <w:color w:val="000000"/>
          <w:sz w:val="24"/>
          <w:szCs w:val="24"/>
          <w:lang w:val="es-CO" w:eastAsia="es-CO"/>
        </w:rPr>
        <w:t>12</w:t>
      </w:r>
      <w:r w:rsidR="006B48DD">
        <w:rPr>
          <w:rFonts w:ascii="Times New Roman" w:eastAsia="Times New Roman" w:hAnsi="Times New Roman" w:cs="Times New Roman"/>
          <w:color w:val="000000"/>
          <w:sz w:val="24"/>
          <w:szCs w:val="24"/>
          <w:lang w:val="es-CO" w:eastAsia="es-CO"/>
        </w:rPr>
        <w:t>.</w:t>
      </w:r>
      <w:r w:rsidR="006B48DD" w:rsidRPr="00011D21">
        <w:rPr>
          <w:rFonts w:ascii="Times New Roman" w:eastAsia="Times New Roman" w:hAnsi="Times New Roman" w:cs="Times New Roman"/>
          <w:color w:val="000000"/>
          <w:sz w:val="24"/>
          <w:szCs w:val="24"/>
          <w:lang w:val="es-CO" w:eastAsia="es-CO"/>
        </w:rPr>
        <w:t>666-8</w:t>
      </w:r>
      <w:r w:rsidR="006B48DD">
        <w:rPr>
          <w:rFonts w:ascii="Times New Roman" w:eastAsia="Times New Roman" w:hAnsi="Times New Roman" w:cs="Times New Roman"/>
          <w:color w:val="000000"/>
          <w:sz w:val="24"/>
          <w:szCs w:val="24"/>
          <w:lang w:val="es-CO" w:eastAsia="es-CO"/>
        </w:rPr>
        <w:t>.</w:t>
      </w:r>
      <w:r w:rsidR="006B48DD" w:rsidRPr="00011D21">
        <w:rPr>
          <w:rFonts w:ascii="Times New Roman" w:eastAsia="Times New Roman" w:hAnsi="Times New Roman" w:cs="Times New Roman"/>
          <w:color w:val="000000"/>
          <w:sz w:val="24"/>
          <w:szCs w:val="24"/>
          <w:lang w:val="es-CO" w:eastAsia="es-CO"/>
        </w:rPr>
        <w:t>968-4</w:t>
      </w:r>
      <w:r w:rsidR="006B48DD">
        <w:rPr>
          <w:rFonts w:ascii="Times New Roman" w:eastAsia="Times New Roman" w:hAnsi="Times New Roman" w:cs="Times New Roman"/>
          <w:color w:val="000000"/>
          <w:sz w:val="24"/>
          <w:szCs w:val="24"/>
          <w:lang w:val="es-CO" w:eastAsia="es-CO"/>
        </w:rPr>
        <w:t>.</w:t>
      </w:r>
      <w:r w:rsidR="006B48DD" w:rsidRPr="00011D21">
        <w:rPr>
          <w:rFonts w:ascii="Times New Roman" w:eastAsia="Times New Roman" w:hAnsi="Times New Roman" w:cs="Times New Roman"/>
          <w:color w:val="000000"/>
          <w:sz w:val="24"/>
          <w:szCs w:val="24"/>
          <w:lang w:val="es-CO" w:eastAsia="es-CO"/>
        </w:rPr>
        <w:t>650</w:t>
      </w:r>
      <w:r w:rsidR="006B48DD" w:rsidRPr="00011D21">
        <w:rPr>
          <w:rFonts w:ascii="Times New Roman" w:hAnsi="Times New Roman" w:cs="Times New Roman"/>
          <w:sz w:val="24"/>
          <w:szCs w:val="24"/>
          <w:lang w:val="es-CO"/>
        </w:rPr>
        <w:t>), Guainía (</w:t>
      </w:r>
      <w:r w:rsidR="006B48DD" w:rsidRPr="00011D21">
        <w:rPr>
          <w:rFonts w:ascii="Times New Roman" w:eastAsia="Times New Roman" w:hAnsi="Times New Roman" w:cs="Times New Roman"/>
          <w:color w:val="000000"/>
          <w:sz w:val="24"/>
          <w:szCs w:val="24"/>
          <w:lang w:val="es-CO" w:eastAsia="es-CO"/>
        </w:rPr>
        <w:t>13</w:t>
      </w:r>
      <w:r w:rsidR="006B48DD">
        <w:rPr>
          <w:rFonts w:ascii="Times New Roman" w:eastAsia="Times New Roman" w:hAnsi="Times New Roman" w:cs="Times New Roman"/>
          <w:color w:val="000000"/>
          <w:sz w:val="24"/>
          <w:szCs w:val="24"/>
          <w:lang w:val="es-CO" w:eastAsia="es-CO"/>
        </w:rPr>
        <w:t>.</w:t>
      </w:r>
      <w:r w:rsidR="006B48DD" w:rsidRPr="00011D21">
        <w:rPr>
          <w:rFonts w:ascii="Times New Roman" w:eastAsia="Times New Roman" w:hAnsi="Times New Roman" w:cs="Times New Roman"/>
          <w:color w:val="000000"/>
          <w:sz w:val="24"/>
          <w:szCs w:val="24"/>
          <w:lang w:val="es-CO" w:eastAsia="es-CO"/>
        </w:rPr>
        <w:t>090-12</w:t>
      </w:r>
      <w:r w:rsidR="006B48DD">
        <w:rPr>
          <w:rFonts w:ascii="Times New Roman" w:eastAsia="Times New Roman" w:hAnsi="Times New Roman" w:cs="Times New Roman"/>
          <w:color w:val="000000"/>
          <w:sz w:val="24"/>
          <w:szCs w:val="24"/>
          <w:lang w:val="es-CO" w:eastAsia="es-CO"/>
        </w:rPr>
        <w:t>.</w:t>
      </w:r>
      <w:r w:rsidR="006B48DD" w:rsidRPr="00011D21">
        <w:rPr>
          <w:rFonts w:ascii="Times New Roman" w:eastAsia="Times New Roman" w:hAnsi="Times New Roman" w:cs="Times New Roman"/>
          <w:color w:val="000000"/>
          <w:sz w:val="24"/>
          <w:szCs w:val="24"/>
          <w:lang w:val="es-CO" w:eastAsia="es-CO"/>
        </w:rPr>
        <w:t>402-2</w:t>
      </w:r>
      <w:r w:rsidR="006B48DD">
        <w:rPr>
          <w:rFonts w:ascii="Times New Roman" w:eastAsia="Times New Roman" w:hAnsi="Times New Roman" w:cs="Times New Roman"/>
          <w:color w:val="000000"/>
          <w:sz w:val="24"/>
          <w:szCs w:val="24"/>
          <w:lang w:val="es-CO" w:eastAsia="es-CO"/>
        </w:rPr>
        <w:t>.</w:t>
      </w:r>
      <w:r w:rsidR="006B48DD" w:rsidRPr="00011D21">
        <w:rPr>
          <w:rFonts w:ascii="Times New Roman" w:eastAsia="Times New Roman" w:hAnsi="Times New Roman" w:cs="Times New Roman"/>
          <w:color w:val="000000"/>
          <w:sz w:val="24"/>
          <w:szCs w:val="24"/>
          <w:lang w:val="es-CO" w:eastAsia="es-CO"/>
        </w:rPr>
        <w:t>950</w:t>
      </w:r>
      <w:r w:rsidR="006B48DD" w:rsidRPr="00011D21">
        <w:rPr>
          <w:rFonts w:ascii="Times New Roman" w:hAnsi="Times New Roman" w:cs="Times New Roman"/>
          <w:sz w:val="24"/>
          <w:szCs w:val="24"/>
          <w:lang w:val="es-CO"/>
        </w:rPr>
        <w:t>), Guaviare (</w:t>
      </w:r>
      <w:r w:rsidR="006B48DD" w:rsidRPr="00011D21">
        <w:rPr>
          <w:rFonts w:ascii="Times New Roman" w:eastAsia="Times New Roman" w:hAnsi="Times New Roman" w:cs="Times New Roman"/>
          <w:color w:val="000000"/>
          <w:sz w:val="24"/>
          <w:szCs w:val="24"/>
          <w:lang w:val="es-CO" w:eastAsia="es-CO"/>
        </w:rPr>
        <w:t>20</w:t>
      </w:r>
      <w:r w:rsidR="006B48DD">
        <w:rPr>
          <w:rFonts w:ascii="Times New Roman" w:eastAsia="Times New Roman" w:hAnsi="Times New Roman" w:cs="Times New Roman"/>
          <w:color w:val="000000"/>
          <w:sz w:val="24"/>
          <w:szCs w:val="24"/>
          <w:lang w:val="es-CO" w:eastAsia="es-CO"/>
        </w:rPr>
        <w:t>.</w:t>
      </w:r>
      <w:r w:rsidR="006B48DD" w:rsidRPr="00011D21">
        <w:rPr>
          <w:rFonts w:ascii="Times New Roman" w:eastAsia="Times New Roman" w:hAnsi="Times New Roman" w:cs="Times New Roman"/>
          <w:color w:val="000000"/>
          <w:sz w:val="24"/>
          <w:szCs w:val="24"/>
          <w:lang w:val="es-CO" w:eastAsia="es-CO"/>
        </w:rPr>
        <w:t>132-12</w:t>
      </w:r>
      <w:r w:rsidR="006B48DD">
        <w:rPr>
          <w:rFonts w:ascii="Times New Roman" w:eastAsia="Times New Roman" w:hAnsi="Times New Roman" w:cs="Times New Roman"/>
          <w:color w:val="000000"/>
          <w:sz w:val="24"/>
          <w:szCs w:val="24"/>
          <w:lang w:val="es-CO" w:eastAsia="es-CO"/>
        </w:rPr>
        <w:t>.</w:t>
      </w:r>
      <w:r w:rsidR="006B48DD" w:rsidRPr="00011D21">
        <w:rPr>
          <w:rFonts w:ascii="Times New Roman" w:eastAsia="Times New Roman" w:hAnsi="Times New Roman" w:cs="Times New Roman"/>
          <w:color w:val="000000"/>
          <w:sz w:val="24"/>
          <w:szCs w:val="24"/>
          <w:lang w:val="es-CO" w:eastAsia="es-CO"/>
        </w:rPr>
        <w:t>358-12</w:t>
      </w:r>
      <w:r w:rsidR="006B48DD">
        <w:rPr>
          <w:rFonts w:ascii="Times New Roman" w:eastAsia="Times New Roman" w:hAnsi="Times New Roman" w:cs="Times New Roman"/>
          <w:color w:val="000000"/>
          <w:sz w:val="24"/>
          <w:szCs w:val="24"/>
          <w:lang w:val="es-CO" w:eastAsia="es-CO"/>
        </w:rPr>
        <w:t>.</w:t>
      </w:r>
      <w:r w:rsidR="006B48DD" w:rsidRPr="00011D21">
        <w:rPr>
          <w:rFonts w:ascii="Times New Roman" w:eastAsia="Times New Roman" w:hAnsi="Times New Roman" w:cs="Times New Roman"/>
          <w:color w:val="000000"/>
          <w:sz w:val="24"/>
          <w:szCs w:val="24"/>
          <w:lang w:val="es-CO" w:eastAsia="es-CO"/>
        </w:rPr>
        <w:t>350</w:t>
      </w:r>
      <w:r w:rsidR="006B48DD" w:rsidRPr="00011D21">
        <w:rPr>
          <w:rFonts w:ascii="Times New Roman" w:hAnsi="Times New Roman" w:cs="Times New Roman"/>
          <w:sz w:val="24"/>
          <w:szCs w:val="24"/>
          <w:lang w:val="es-CO"/>
        </w:rPr>
        <w:t>), y Amazonas (41</w:t>
      </w:r>
      <w:r w:rsidR="006B48DD">
        <w:rPr>
          <w:rFonts w:ascii="Times New Roman" w:hAnsi="Times New Roman" w:cs="Times New Roman"/>
          <w:sz w:val="24"/>
          <w:szCs w:val="24"/>
          <w:lang w:val="es-CO"/>
        </w:rPr>
        <w:t>.</w:t>
      </w:r>
      <w:r w:rsidR="006B48DD" w:rsidRPr="00011D21">
        <w:rPr>
          <w:rFonts w:ascii="Times New Roman" w:hAnsi="Times New Roman" w:cs="Times New Roman"/>
          <w:sz w:val="24"/>
          <w:szCs w:val="24"/>
          <w:lang w:val="es-CO"/>
        </w:rPr>
        <w:t>865-25</w:t>
      </w:r>
      <w:r w:rsidR="006B48DD">
        <w:rPr>
          <w:rFonts w:ascii="Times New Roman" w:hAnsi="Times New Roman" w:cs="Times New Roman"/>
          <w:sz w:val="24"/>
          <w:szCs w:val="24"/>
          <w:lang w:val="es-CO"/>
        </w:rPr>
        <w:t>.</w:t>
      </w:r>
      <w:r w:rsidR="006B48DD" w:rsidRPr="00011D21">
        <w:rPr>
          <w:rFonts w:ascii="Times New Roman" w:hAnsi="Times New Roman" w:cs="Times New Roman"/>
          <w:sz w:val="24"/>
          <w:szCs w:val="24"/>
          <w:lang w:val="es-CO"/>
        </w:rPr>
        <w:t>641-8</w:t>
      </w:r>
      <w:r w:rsidR="006B48DD">
        <w:rPr>
          <w:rFonts w:ascii="Times New Roman" w:hAnsi="Times New Roman" w:cs="Times New Roman"/>
          <w:sz w:val="24"/>
          <w:szCs w:val="24"/>
          <w:lang w:val="es-CO"/>
        </w:rPr>
        <w:t>.</w:t>
      </w:r>
      <w:r w:rsidR="006B48DD" w:rsidRPr="00011D21">
        <w:rPr>
          <w:rFonts w:ascii="Times New Roman" w:hAnsi="Times New Roman" w:cs="Times New Roman"/>
          <w:sz w:val="24"/>
          <w:szCs w:val="24"/>
          <w:lang w:val="es-CO"/>
        </w:rPr>
        <w:t xml:space="preserve">550). </w:t>
      </w:r>
    </w:p>
    <w:p w14:paraId="35140C3B" w14:textId="7E63DC14" w:rsidR="0015241F" w:rsidRDefault="0015241F" w:rsidP="0015241F">
      <w:pPr>
        <w:spacing w:line="360" w:lineRule="auto"/>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Además, </w:t>
      </w:r>
      <w:r w:rsidRPr="00011D21">
        <w:rPr>
          <w:rFonts w:ascii="Times New Roman" w:hAnsi="Times New Roman" w:cs="Times New Roman"/>
          <w:sz w:val="24"/>
          <w:szCs w:val="24"/>
          <w:lang w:val="es-CO"/>
        </w:rPr>
        <w:t>se pued</w:t>
      </w:r>
      <w:r>
        <w:rPr>
          <w:rFonts w:ascii="Times New Roman" w:hAnsi="Times New Roman" w:cs="Times New Roman"/>
          <w:sz w:val="24"/>
          <w:szCs w:val="24"/>
          <w:lang w:val="es-CO"/>
        </w:rPr>
        <w:t>o</w:t>
      </w:r>
      <w:r w:rsidRPr="00011D21">
        <w:rPr>
          <w:rFonts w:ascii="Times New Roman" w:hAnsi="Times New Roman" w:cs="Times New Roman"/>
          <w:sz w:val="24"/>
          <w:szCs w:val="24"/>
          <w:lang w:val="es-CO"/>
        </w:rPr>
        <w:t xml:space="preserve"> inferir que las entidades territoriales con mayor </w:t>
      </w:r>
      <w:r>
        <w:rPr>
          <w:rFonts w:ascii="Times New Roman" w:hAnsi="Times New Roman" w:cs="Times New Roman"/>
          <w:sz w:val="24"/>
          <w:szCs w:val="24"/>
          <w:lang w:val="es-CO"/>
        </w:rPr>
        <w:t>porcentaje de</w:t>
      </w:r>
      <w:r w:rsidRPr="00011D21">
        <w:rPr>
          <w:rFonts w:ascii="Times New Roman" w:hAnsi="Times New Roman" w:cs="Times New Roman"/>
          <w:sz w:val="24"/>
          <w:szCs w:val="24"/>
          <w:lang w:val="es-CO"/>
        </w:rPr>
        <w:t xml:space="preserve"> vacunas aplicadas</w:t>
      </w:r>
      <w:r>
        <w:rPr>
          <w:rFonts w:ascii="Times New Roman" w:hAnsi="Times New Roman" w:cs="Times New Roman"/>
          <w:sz w:val="24"/>
          <w:szCs w:val="24"/>
          <w:lang w:val="es-CO"/>
        </w:rPr>
        <w:t xml:space="preserve"> para primera dosis</w:t>
      </w:r>
      <w:r w:rsidRPr="00011D21">
        <w:rPr>
          <w:rFonts w:ascii="Times New Roman" w:hAnsi="Times New Roman" w:cs="Times New Roman"/>
          <w:sz w:val="24"/>
          <w:szCs w:val="24"/>
          <w:lang w:val="es-CO"/>
        </w:rPr>
        <w:t xml:space="preserve"> est</w:t>
      </w:r>
      <w:r>
        <w:rPr>
          <w:rFonts w:ascii="Times New Roman" w:hAnsi="Times New Roman" w:cs="Times New Roman"/>
          <w:sz w:val="24"/>
          <w:szCs w:val="24"/>
          <w:lang w:val="es-CO"/>
        </w:rPr>
        <w:t>uvieron</w:t>
      </w:r>
      <w:r w:rsidRPr="00011D21">
        <w:rPr>
          <w:rFonts w:ascii="Times New Roman" w:hAnsi="Times New Roman" w:cs="Times New Roman"/>
          <w:sz w:val="24"/>
          <w:szCs w:val="24"/>
          <w:lang w:val="es-CO"/>
        </w:rPr>
        <w:t xml:space="preserve">: </w:t>
      </w:r>
      <w:r>
        <w:rPr>
          <w:rFonts w:ascii="Times New Roman" w:hAnsi="Times New Roman" w:cs="Times New Roman"/>
          <w:sz w:val="24"/>
          <w:szCs w:val="24"/>
          <w:lang w:val="es-CO"/>
        </w:rPr>
        <w:t>San Andrés y Providencia (87), Valle (56,75), Atlántico (56,75)</w:t>
      </w:r>
      <w:r w:rsidRPr="00011D21">
        <w:rPr>
          <w:rFonts w:ascii="Times New Roman" w:hAnsi="Times New Roman" w:cs="Times New Roman"/>
          <w:sz w:val="24"/>
          <w:szCs w:val="24"/>
          <w:lang w:val="es-CO"/>
        </w:rPr>
        <w:t>,</w:t>
      </w:r>
      <w:r>
        <w:rPr>
          <w:rFonts w:ascii="Times New Roman" w:hAnsi="Times New Roman" w:cs="Times New Roman"/>
          <w:sz w:val="24"/>
          <w:szCs w:val="24"/>
          <w:lang w:val="es-CO"/>
        </w:rPr>
        <w:t xml:space="preserve"> Caldas (56,72), y Vaupés (56)</w:t>
      </w:r>
      <w:r w:rsidRPr="00011D21">
        <w:rPr>
          <w:rFonts w:ascii="Times New Roman" w:hAnsi="Times New Roman" w:cs="Times New Roman"/>
          <w:sz w:val="24"/>
          <w:szCs w:val="24"/>
          <w:lang w:val="es-CO"/>
        </w:rPr>
        <w:t xml:space="preserve"> y las entidades territoriales con m</w:t>
      </w:r>
      <w:r>
        <w:rPr>
          <w:rFonts w:ascii="Times New Roman" w:hAnsi="Times New Roman" w:cs="Times New Roman"/>
          <w:sz w:val="24"/>
          <w:szCs w:val="24"/>
          <w:lang w:val="es-CO"/>
        </w:rPr>
        <w:t>ayor</w:t>
      </w:r>
      <w:r w:rsidRPr="00011D21">
        <w:rPr>
          <w:rFonts w:ascii="Times New Roman" w:hAnsi="Times New Roman" w:cs="Times New Roman"/>
          <w:sz w:val="24"/>
          <w:szCs w:val="24"/>
          <w:lang w:val="es-CO"/>
        </w:rPr>
        <w:t xml:space="preserve"> </w:t>
      </w:r>
      <w:r>
        <w:rPr>
          <w:rFonts w:ascii="Times New Roman" w:hAnsi="Times New Roman" w:cs="Times New Roman"/>
          <w:sz w:val="24"/>
          <w:szCs w:val="24"/>
          <w:lang w:val="es-CO"/>
        </w:rPr>
        <w:t xml:space="preserve">porcentaje de </w:t>
      </w:r>
      <w:r w:rsidRPr="00011D21">
        <w:rPr>
          <w:rFonts w:ascii="Times New Roman" w:hAnsi="Times New Roman" w:cs="Times New Roman"/>
          <w:sz w:val="24"/>
          <w:szCs w:val="24"/>
          <w:lang w:val="es-CO"/>
        </w:rPr>
        <w:t xml:space="preserve">vacunas </w:t>
      </w:r>
      <w:r>
        <w:rPr>
          <w:rFonts w:ascii="Times New Roman" w:hAnsi="Times New Roman" w:cs="Times New Roman"/>
          <w:sz w:val="24"/>
          <w:szCs w:val="24"/>
          <w:lang w:val="es-CO"/>
        </w:rPr>
        <w:t>para segunda dosis</w:t>
      </w:r>
      <w:r w:rsidRPr="00011D21">
        <w:rPr>
          <w:rFonts w:ascii="Times New Roman" w:hAnsi="Times New Roman" w:cs="Times New Roman"/>
          <w:sz w:val="24"/>
          <w:szCs w:val="24"/>
          <w:lang w:val="es-CO"/>
        </w:rPr>
        <w:t xml:space="preserve"> est</w:t>
      </w:r>
      <w:r>
        <w:rPr>
          <w:rFonts w:ascii="Times New Roman" w:hAnsi="Times New Roman" w:cs="Times New Roman"/>
          <w:sz w:val="24"/>
          <w:szCs w:val="24"/>
          <w:lang w:val="es-CO"/>
        </w:rPr>
        <w:t>uvieron</w:t>
      </w:r>
      <w:r w:rsidRPr="00011D21">
        <w:rPr>
          <w:rFonts w:ascii="Times New Roman" w:hAnsi="Times New Roman" w:cs="Times New Roman"/>
          <w:sz w:val="24"/>
          <w:szCs w:val="24"/>
          <w:lang w:val="es-CO"/>
        </w:rPr>
        <w:t>: Guainía (</w:t>
      </w:r>
      <w:r>
        <w:rPr>
          <w:rFonts w:ascii="Times New Roman" w:hAnsi="Times New Roman" w:cs="Times New Roman"/>
          <w:sz w:val="24"/>
          <w:szCs w:val="24"/>
          <w:lang w:val="es-CO"/>
        </w:rPr>
        <w:t>43,6</w:t>
      </w:r>
      <w:r w:rsidRPr="00011D21">
        <w:rPr>
          <w:rFonts w:ascii="Times New Roman" w:hAnsi="Times New Roman" w:cs="Times New Roman"/>
          <w:sz w:val="24"/>
          <w:szCs w:val="24"/>
          <w:lang w:val="es-CO"/>
        </w:rPr>
        <w:t xml:space="preserve">), </w:t>
      </w:r>
      <w:r>
        <w:rPr>
          <w:rFonts w:ascii="Times New Roman" w:hAnsi="Times New Roman" w:cs="Times New Roman"/>
          <w:sz w:val="24"/>
          <w:szCs w:val="24"/>
          <w:lang w:val="es-CO"/>
        </w:rPr>
        <w:t>Risaralda (40,73), Santa Marta (40,15), Barranquilla (39,36), y Cartagena (39,35). L</w:t>
      </w:r>
      <w:r w:rsidRPr="00011D21">
        <w:rPr>
          <w:rFonts w:ascii="Times New Roman" w:hAnsi="Times New Roman" w:cs="Times New Roman"/>
          <w:sz w:val="24"/>
          <w:szCs w:val="24"/>
          <w:lang w:val="es-CO"/>
        </w:rPr>
        <w:t>as entidades territoriales con m</w:t>
      </w:r>
      <w:r>
        <w:rPr>
          <w:rFonts w:ascii="Times New Roman" w:hAnsi="Times New Roman" w:cs="Times New Roman"/>
          <w:sz w:val="24"/>
          <w:szCs w:val="24"/>
          <w:lang w:val="es-CO"/>
        </w:rPr>
        <w:t>ayor</w:t>
      </w:r>
      <w:r w:rsidRPr="00011D21">
        <w:rPr>
          <w:rFonts w:ascii="Times New Roman" w:hAnsi="Times New Roman" w:cs="Times New Roman"/>
          <w:sz w:val="24"/>
          <w:szCs w:val="24"/>
          <w:lang w:val="es-CO"/>
        </w:rPr>
        <w:t xml:space="preserve"> </w:t>
      </w:r>
      <w:r>
        <w:rPr>
          <w:rFonts w:ascii="Times New Roman" w:hAnsi="Times New Roman" w:cs="Times New Roman"/>
          <w:sz w:val="24"/>
          <w:szCs w:val="24"/>
          <w:lang w:val="es-CO"/>
        </w:rPr>
        <w:t xml:space="preserve">porcentaje de </w:t>
      </w:r>
      <w:r w:rsidRPr="00011D21">
        <w:rPr>
          <w:rFonts w:ascii="Times New Roman" w:hAnsi="Times New Roman" w:cs="Times New Roman"/>
          <w:sz w:val="24"/>
          <w:szCs w:val="24"/>
          <w:lang w:val="es-CO"/>
        </w:rPr>
        <w:t xml:space="preserve">vacunas </w:t>
      </w:r>
      <w:r>
        <w:rPr>
          <w:rFonts w:ascii="Times New Roman" w:hAnsi="Times New Roman" w:cs="Times New Roman"/>
          <w:sz w:val="24"/>
          <w:szCs w:val="24"/>
          <w:lang w:val="es-CO"/>
        </w:rPr>
        <w:t>para monodosis</w:t>
      </w:r>
      <w:r w:rsidRPr="00011D21">
        <w:rPr>
          <w:rFonts w:ascii="Times New Roman" w:hAnsi="Times New Roman" w:cs="Times New Roman"/>
          <w:sz w:val="24"/>
          <w:szCs w:val="24"/>
          <w:lang w:val="es-CO"/>
        </w:rPr>
        <w:t xml:space="preserve"> est</w:t>
      </w:r>
      <w:r>
        <w:rPr>
          <w:rFonts w:ascii="Times New Roman" w:hAnsi="Times New Roman" w:cs="Times New Roman"/>
          <w:sz w:val="24"/>
          <w:szCs w:val="24"/>
          <w:lang w:val="es-CO"/>
        </w:rPr>
        <w:t>uvieron</w:t>
      </w:r>
      <w:r w:rsidRPr="00011D21">
        <w:rPr>
          <w:rFonts w:ascii="Times New Roman" w:hAnsi="Times New Roman" w:cs="Times New Roman"/>
          <w:sz w:val="24"/>
          <w:szCs w:val="24"/>
          <w:lang w:val="es-CO"/>
        </w:rPr>
        <w:t>: Gua</w:t>
      </w:r>
      <w:r>
        <w:rPr>
          <w:rFonts w:ascii="Times New Roman" w:hAnsi="Times New Roman" w:cs="Times New Roman"/>
          <w:sz w:val="24"/>
          <w:szCs w:val="24"/>
          <w:lang w:val="es-CO"/>
        </w:rPr>
        <w:t>viare</w:t>
      </w:r>
      <w:r w:rsidRPr="00011D21">
        <w:rPr>
          <w:rFonts w:ascii="Times New Roman" w:hAnsi="Times New Roman" w:cs="Times New Roman"/>
          <w:sz w:val="24"/>
          <w:szCs w:val="24"/>
          <w:lang w:val="es-CO"/>
        </w:rPr>
        <w:t xml:space="preserve"> (</w:t>
      </w:r>
      <w:r>
        <w:rPr>
          <w:rFonts w:ascii="Times New Roman" w:hAnsi="Times New Roman" w:cs="Times New Roman"/>
          <w:sz w:val="24"/>
          <w:szCs w:val="24"/>
          <w:lang w:val="es-CO"/>
        </w:rPr>
        <w:t>27,54</w:t>
      </w:r>
      <w:r w:rsidRPr="00011D21">
        <w:rPr>
          <w:rFonts w:ascii="Times New Roman" w:hAnsi="Times New Roman" w:cs="Times New Roman"/>
          <w:sz w:val="24"/>
          <w:szCs w:val="24"/>
          <w:lang w:val="es-CO"/>
        </w:rPr>
        <w:t xml:space="preserve">), </w:t>
      </w:r>
      <w:r>
        <w:rPr>
          <w:rFonts w:ascii="Times New Roman" w:hAnsi="Times New Roman" w:cs="Times New Roman"/>
          <w:sz w:val="24"/>
          <w:szCs w:val="24"/>
          <w:lang w:val="es-CO"/>
        </w:rPr>
        <w:t xml:space="preserve">La Guajira (24,45), Putumayo (23,52), Chocó (22,63), y Buenaventura (19,27). </w:t>
      </w:r>
    </w:p>
    <w:p w14:paraId="69DE4970" w14:textId="707E116A" w:rsidR="0034346E" w:rsidRPr="00D72FFA" w:rsidRDefault="00DF55B3" w:rsidP="0034346E">
      <w:pPr>
        <w:spacing w:line="360" w:lineRule="auto"/>
        <w:jc w:val="both"/>
        <w:rPr>
          <w:rFonts w:ascii="Times New Roman" w:eastAsia="Times New Roman" w:hAnsi="Times New Roman" w:cs="Times New Roman"/>
          <w:color w:val="000000"/>
          <w:sz w:val="24"/>
          <w:szCs w:val="24"/>
          <w:lang w:val="es-CO" w:eastAsia="es-CO"/>
        </w:rPr>
      </w:pPr>
      <w:r>
        <w:rPr>
          <w:rFonts w:ascii="Times New Roman" w:hAnsi="Times New Roman" w:cs="Times New Roman"/>
          <w:sz w:val="24"/>
          <w:szCs w:val="24"/>
          <w:lang w:val="es-CO"/>
        </w:rPr>
        <w:t>Al mismo tiempo</w:t>
      </w:r>
      <w:r w:rsidR="0034346E">
        <w:rPr>
          <w:rFonts w:ascii="Times New Roman" w:hAnsi="Times New Roman" w:cs="Times New Roman"/>
          <w:sz w:val="24"/>
          <w:szCs w:val="24"/>
          <w:lang w:val="es-CO"/>
        </w:rPr>
        <w:t>, se determinó que el sexo femenino tuvo el mayor número de esquemas completos de vacunación contra SARS-CoV-2 con el 52%, seguido del sexo masculino con el 41% y no reportado con el 7%.</w:t>
      </w:r>
    </w:p>
    <w:p w14:paraId="01302DF8" w14:textId="29340D02" w:rsidR="008426EB" w:rsidRDefault="002F1187" w:rsidP="008426EB">
      <w:pPr>
        <w:spacing w:line="360" w:lineRule="auto"/>
        <w:jc w:val="both"/>
        <w:rPr>
          <w:rFonts w:ascii="Times New Roman" w:hAnsi="Times New Roman" w:cs="Times New Roman"/>
          <w:color w:val="222222"/>
          <w:sz w:val="24"/>
          <w:szCs w:val="24"/>
          <w:shd w:val="clear" w:color="auto" w:fill="FFFFFF"/>
          <w:lang w:val="es-CO"/>
        </w:rPr>
      </w:pPr>
      <w:r>
        <w:rPr>
          <w:rFonts w:ascii="Times New Roman" w:hAnsi="Times New Roman" w:cs="Times New Roman"/>
          <w:color w:val="222222"/>
          <w:sz w:val="24"/>
          <w:szCs w:val="24"/>
          <w:shd w:val="clear" w:color="auto" w:fill="FFFFFF"/>
          <w:lang w:val="es-CO"/>
        </w:rPr>
        <w:t>Ahora, l</w:t>
      </w:r>
      <w:r w:rsidR="008426EB" w:rsidRPr="008426EB">
        <w:rPr>
          <w:rFonts w:ascii="Times New Roman" w:hAnsi="Times New Roman" w:cs="Times New Roman"/>
          <w:color w:val="222222"/>
          <w:sz w:val="24"/>
          <w:szCs w:val="24"/>
          <w:shd w:val="clear" w:color="auto" w:fill="FFFFFF"/>
          <w:lang w:val="es-CO"/>
        </w:rPr>
        <w:t xml:space="preserve">a vacunación es </w:t>
      </w:r>
      <w:r w:rsidR="008426EB">
        <w:rPr>
          <w:rFonts w:ascii="Times New Roman" w:hAnsi="Times New Roman" w:cs="Times New Roman"/>
          <w:color w:val="222222"/>
          <w:sz w:val="24"/>
          <w:szCs w:val="24"/>
          <w:shd w:val="clear" w:color="auto" w:fill="FFFFFF"/>
          <w:lang w:val="es-CO"/>
        </w:rPr>
        <w:t xml:space="preserve">fundamental </w:t>
      </w:r>
      <w:r w:rsidR="008426EB" w:rsidRPr="008426EB">
        <w:rPr>
          <w:rFonts w:ascii="Times New Roman" w:hAnsi="Times New Roman" w:cs="Times New Roman"/>
          <w:color w:val="222222"/>
          <w:sz w:val="24"/>
          <w:szCs w:val="24"/>
          <w:shd w:val="clear" w:color="auto" w:fill="FFFFFF"/>
          <w:lang w:val="es-CO"/>
        </w:rPr>
        <w:t xml:space="preserve">durante la pandemia de COVID-19 para </w:t>
      </w:r>
      <w:r w:rsidR="008426EB">
        <w:rPr>
          <w:rFonts w:ascii="Times New Roman" w:hAnsi="Times New Roman" w:cs="Times New Roman"/>
          <w:color w:val="222222"/>
          <w:sz w:val="24"/>
          <w:szCs w:val="24"/>
          <w:shd w:val="clear" w:color="auto" w:fill="FFFFFF"/>
          <w:lang w:val="es-CO"/>
        </w:rPr>
        <w:t>disminuir</w:t>
      </w:r>
      <w:r w:rsidR="008426EB" w:rsidRPr="008426EB">
        <w:rPr>
          <w:rFonts w:ascii="Times New Roman" w:hAnsi="Times New Roman" w:cs="Times New Roman"/>
          <w:color w:val="222222"/>
          <w:sz w:val="24"/>
          <w:szCs w:val="24"/>
          <w:shd w:val="clear" w:color="auto" w:fill="FFFFFF"/>
          <w:lang w:val="es-CO"/>
        </w:rPr>
        <w:t xml:space="preserve"> las tasas de infección y las muertes. La eficacia de la vacuna estriba </w:t>
      </w:r>
      <w:r w:rsidR="008426EB">
        <w:rPr>
          <w:rFonts w:ascii="Times New Roman" w:hAnsi="Times New Roman" w:cs="Times New Roman"/>
          <w:color w:val="222222"/>
          <w:sz w:val="24"/>
          <w:szCs w:val="24"/>
          <w:shd w:val="clear" w:color="auto" w:fill="FFFFFF"/>
          <w:lang w:val="es-CO"/>
        </w:rPr>
        <w:t>en</w:t>
      </w:r>
      <w:r w:rsidR="008426EB" w:rsidRPr="008426EB">
        <w:rPr>
          <w:rFonts w:ascii="Times New Roman" w:hAnsi="Times New Roman" w:cs="Times New Roman"/>
          <w:color w:val="222222"/>
          <w:sz w:val="24"/>
          <w:szCs w:val="24"/>
          <w:shd w:val="clear" w:color="auto" w:fill="FFFFFF"/>
          <w:lang w:val="es-CO"/>
        </w:rPr>
        <w:t xml:space="preserve"> la formación de una respuesta inmunitaria duradera y de la proporción de personas </w:t>
      </w:r>
      <w:r w:rsidR="008426EB">
        <w:rPr>
          <w:rFonts w:ascii="Times New Roman" w:hAnsi="Times New Roman" w:cs="Times New Roman"/>
          <w:color w:val="222222"/>
          <w:sz w:val="24"/>
          <w:szCs w:val="24"/>
          <w:shd w:val="clear" w:color="auto" w:fill="FFFFFF"/>
          <w:lang w:val="es-CO"/>
        </w:rPr>
        <w:t>habilitadas</w:t>
      </w:r>
      <w:r w:rsidR="008426EB" w:rsidRPr="008426EB">
        <w:rPr>
          <w:rFonts w:ascii="Times New Roman" w:hAnsi="Times New Roman" w:cs="Times New Roman"/>
          <w:color w:val="222222"/>
          <w:sz w:val="24"/>
          <w:szCs w:val="24"/>
          <w:shd w:val="clear" w:color="auto" w:fill="FFFFFF"/>
          <w:lang w:val="es-CO"/>
        </w:rPr>
        <w:t xml:space="preserve"> a </w:t>
      </w:r>
      <w:r w:rsidR="008426EB">
        <w:rPr>
          <w:rFonts w:ascii="Times New Roman" w:hAnsi="Times New Roman" w:cs="Times New Roman"/>
          <w:color w:val="222222"/>
          <w:sz w:val="24"/>
          <w:szCs w:val="24"/>
          <w:shd w:val="clear" w:color="auto" w:fill="FFFFFF"/>
          <w:lang w:val="es-CO"/>
        </w:rPr>
        <w:t>admitir</w:t>
      </w:r>
      <w:r w:rsidR="008426EB" w:rsidRPr="008426EB">
        <w:rPr>
          <w:rFonts w:ascii="Times New Roman" w:hAnsi="Times New Roman" w:cs="Times New Roman"/>
          <w:color w:val="222222"/>
          <w:sz w:val="24"/>
          <w:szCs w:val="24"/>
          <w:shd w:val="clear" w:color="auto" w:fill="FFFFFF"/>
          <w:lang w:val="es-CO"/>
        </w:rPr>
        <w:t xml:space="preserve"> la vacuna. </w:t>
      </w:r>
    </w:p>
    <w:p w14:paraId="595899A3" w14:textId="29D89D42" w:rsidR="00DF55B3" w:rsidRDefault="00DF55B3" w:rsidP="00DF55B3">
      <w:pPr>
        <w:spacing w:after="0" w:line="360" w:lineRule="auto"/>
        <w:jc w:val="both"/>
        <w:rPr>
          <w:rFonts w:ascii="Times New Roman" w:hAnsi="Times New Roman" w:cs="Times New Roman"/>
          <w:color w:val="222222"/>
          <w:sz w:val="24"/>
          <w:szCs w:val="24"/>
          <w:shd w:val="clear" w:color="auto" w:fill="FFFFFF"/>
          <w:lang w:val="es-CO"/>
        </w:rPr>
      </w:pPr>
      <w:r w:rsidRPr="005D5DA9">
        <w:rPr>
          <w:rFonts w:ascii="Times New Roman" w:hAnsi="Times New Roman" w:cs="Times New Roman"/>
          <w:color w:val="222222"/>
          <w:sz w:val="24"/>
          <w:szCs w:val="24"/>
          <w:shd w:val="clear" w:color="auto" w:fill="FFFFFF"/>
          <w:lang w:val="es-CO"/>
        </w:rPr>
        <w:t>Es relevante continuar aumentado la asignación de dosis contra SARS-CoV-2 en los diferentes entes territoriales de Colombia, y a su ve</w:t>
      </w:r>
      <w:r>
        <w:rPr>
          <w:rFonts w:ascii="Times New Roman" w:hAnsi="Times New Roman" w:cs="Times New Roman"/>
          <w:color w:val="222222"/>
          <w:sz w:val="24"/>
          <w:szCs w:val="24"/>
          <w:shd w:val="clear" w:color="auto" w:fill="FFFFFF"/>
          <w:lang w:val="es-CO"/>
        </w:rPr>
        <w:t>z</w:t>
      </w:r>
      <w:r w:rsidRPr="005D5DA9">
        <w:rPr>
          <w:rFonts w:ascii="Times New Roman" w:hAnsi="Times New Roman" w:cs="Times New Roman"/>
          <w:color w:val="222222"/>
          <w:sz w:val="24"/>
          <w:szCs w:val="24"/>
          <w:shd w:val="clear" w:color="auto" w:fill="FFFFFF"/>
          <w:lang w:val="es-CO"/>
        </w:rPr>
        <w:t xml:space="preserve"> que cada ente territorial aumente su capacidad de aplicaciones de dosis de la vacuna y específicamente en lo relacionado con los esquemas completos, que per</w:t>
      </w:r>
      <w:r>
        <w:rPr>
          <w:rFonts w:ascii="Times New Roman" w:hAnsi="Times New Roman" w:cs="Times New Roman"/>
          <w:color w:val="222222"/>
          <w:sz w:val="24"/>
          <w:szCs w:val="24"/>
          <w:shd w:val="clear" w:color="auto" w:fill="FFFFFF"/>
          <w:lang w:val="es-CO"/>
        </w:rPr>
        <w:t>m</w:t>
      </w:r>
      <w:r w:rsidRPr="005D5DA9">
        <w:rPr>
          <w:rFonts w:ascii="Times New Roman" w:hAnsi="Times New Roman" w:cs="Times New Roman"/>
          <w:color w:val="222222"/>
          <w:sz w:val="24"/>
          <w:szCs w:val="24"/>
          <w:shd w:val="clear" w:color="auto" w:fill="FFFFFF"/>
          <w:lang w:val="es-CO"/>
        </w:rPr>
        <w:t>itan llegar a corto plazo</w:t>
      </w:r>
      <w:r>
        <w:rPr>
          <w:rFonts w:ascii="Times New Roman" w:hAnsi="Times New Roman" w:cs="Times New Roman"/>
          <w:color w:val="222222"/>
          <w:sz w:val="24"/>
          <w:szCs w:val="24"/>
          <w:shd w:val="clear" w:color="auto" w:fill="FFFFFF"/>
          <w:lang w:val="es-CO"/>
        </w:rPr>
        <w:t xml:space="preserve"> a</w:t>
      </w:r>
      <w:r w:rsidRPr="005D5DA9">
        <w:rPr>
          <w:rFonts w:ascii="Times New Roman" w:hAnsi="Times New Roman" w:cs="Times New Roman"/>
          <w:color w:val="222222"/>
          <w:sz w:val="24"/>
          <w:szCs w:val="24"/>
          <w:shd w:val="clear" w:color="auto" w:fill="FFFFFF"/>
          <w:lang w:val="es-CO"/>
        </w:rPr>
        <w:t xml:space="preserve"> alcanzar la inmunidad de rebaño en el país.</w:t>
      </w:r>
    </w:p>
    <w:p w14:paraId="7615C251" w14:textId="77777777" w:rsidR="00FB68E4" w:rsidRDefault="00FB68E4" w:rsidP="00DF55B3">
      <w:pPr>
        <w:spacing w:after="0" w:line="360" w:lineRule="auto"/>
        <w:jc w:val="both"/>
        <w:rPr>
          <w:rFonts w:ascii="Times New Roman" w:hAnsi="Times New Roman" w:cs="Times New Roman"/>
          <w:color w:val="222222"/>
          <w:sz w:val="24"/>
          <w:szCs w:val="24"/>
          <w:shd w:val="clear" w:color="auto" w:fill="FFFFFF"/>
          <w:lang w:val="es-CO"/>
        </w:rPr>
      </w:pPr>
    </w:p>
    <w:p w14:paraId="69CAB1A3" w14:textId="579B2A87" w:rsidR="00E1496D" w:rsidRDefault="00E1496D" w:rsidP="00E1496D">
      <w:pPr>
        <w:spacing w:line="360" w:lineRule="auto"/>
        <w:jc w:val="both"/>
        <w:rPr>
          <w:rFonts w:ascii="Times New Roman" w:hAnsi="Times New Roman" w:cs="Times New Roman"/>
          <w:b/>
          <w:bCs/>
          <w:color w:val="222222"/>
          <w:sz w:val="24"/>
          <w:szCs w:val="24"/>
          <w:shd w:val="clear" w:color="auto" w:fill="FFFFFF"/>
          <w:lang w:val="es-CO"/>
        </w:rPr>
      </w:pPr>
      <w:r w:rsidRPr="006E17A7">
        <w:rPr>
          <w:rFonts w:ascii="Times New Roman" w:hAnsi="Times New Roman" w:cs="Times New Roman"/>
          <w:b/>
          <w:bCs/>
          <w:color w:val="222222"/>
          <w:sz w:val="24"/>
          <w:szCs w:val="24"/>
          <w:shd w:val="clear" w:color="auto" w:fill="FFFFFF"/>
          <w:lang w:val="es-CO"/>
        </w:rPr>
        <w:t>Referencias</w:t>
      </w:r>
    </w:p>
    <w:p w14:paraId="0CAA8626" w14:textId="77777777" w:rsidR="00072DA5" w:rsidRPr="00157CB1" w:rsidRDefault="00072DA5" w:rsidP="00464D4B">
      <w:pPr>
        <w:spacing w:line="240" w:lineRule="auto"/>
        <w:jc w:val="both"/>
        <w:rPr>
          <w:rStyle w:val="A6"/>
          <w:rFonts w:ascii="Times New Roman" w:hAnsi="Times New Roman" w:cs="Times New Roman"/>
          <w:sz w:val="24"/>
          <w:szCs w:val="24"/>
          <w:lang w:val="es-CO"/>
        </w:rPr>
      </w:pPr>
      <w:r w:rsidRPr="00157CB1">
        <w:rPr>
          <w:rStyle w:val="A6"/>
          <w:rFonts w:ascii="Times New Roman" w:hAnsi="Times New Roman" w:cs="Times New Roman"/>
          <w:sz w:val="24"/>
          <w:szCs w:val="24"/>
          <w:lang w:val="es-CO"/>
        </w:rPr>
        <w:t>1.Nuestro mundo en datos. Vacunas contra el coronavirus (COVID-19).2021.  Disponible en: https://ourworldindata.org/covid-vaccinations</w:t>
      </w:r>
    </w:p>
    <w:p w14:paraId="04E905F2" w14:textId="77777777" w:rsidR="00072DA5" w:rsidRPr="00157CB1" w:rsidRDefault="00072DA5" w:rsidP="00464D4B">
      <w:pPr>
        <w:spacing w:line="240" w:lineRule="auto"/>
        <w:jc w:val="both"/>
        <w:rPr>
          <w:rStyle w:val="A6"/>
          <w:rFonts w:ascii="Times New Roman" w:hAnsi="Times New Roman" w:cs="Times New Roman"/>
          <w:color w:val="auto"/>
          <w:sz w:val="24"/>
          <w:szCs w:val="24"/>
          <w:lang w:val="es-CO"/>
        </w:rPr>
      </w:pPr>
      <w:r w:rsidRPr="00157CB1">
        <w:rPr>
          <w:rStyle w:val="A14"/>
          <w:rFonts w:ascii="Times New Roman" w:hAnsi="Times New Roman" w:cs="Times New Roman"/>
          <w:sz w:val="24"/>
          <w:szCs w:val="24"/>
          <w:lang w:val="es-CO"/>
        </w:rPr>
        <w:t xml:space="preserve">2. Organización Mundial de la Salud. Vacunas para COVID-19. 2021. Disponible en: </w:t>
      </w:r>
      <w:r w:rsidRPr="00157CB1">
        <w:rPr>
          <w:rFonts w:ascii="Times New Roman" w:hAnsi="Times New Roman" w:cs="Times New Roman"/>
          <w:sz w:val="24"/>
          <w:szCs w:val="24"/>
          <w:shd w:val="clear" w:color="auto" w:fill="FFFFFF"/>
          <w:lang w:val="es-CO"/>
        </w:rPr>
        <w:t>https://www.who.int/emergencies/diseases/novel-coronavirus-2019/covid-19-vaccines </w:t>
      </w:r>
    </w:p>
    <w:p w14:paraId="7A95D9D8" w14:textId="77777777" w:rsidR="00072DA5" w:rsidRPr="00157CB1" w:rsidRDefault="00072DA5" w:rsidP="00072DA5">
      <w:pPr>
        <w:pStyle w:val="Pa23"/>
        <w:jc w:val="both"/>
        <w:rPr>
          <w:rStyle w:val="A14"/>
          <w:rFonts w:ascii="Times New Roman" w:hAnsi="Times New Roman" w:cs="Times New Roman"/>
          <w:sz w:val="24"/>
          <w:szCs w:val="24"/>
          <w:lang w:val="en-US"/>
        </w:rPr>
      </w:pPr>
      <w:r w:rsidRPr="00157CB1">
        <w:rPr>
          <w:rStyle w:val="A14"/>
          <w:rFonts w:ascii="Times New Roman" w:hAnsi="Times New Roman" w:cs="Times New Roman"/>
          <w:sz w:val="24"/>
          <w:szCs w:val="24"/>
          <w:lang w:val="en-US"/>
        </w:rPr>
        <w:t xml:space="preserve">3. </w:t>
      </w:r>
      <w:r w:rsidRPr="00157CB1">
        <w:rPr>
          <w:rFonts w:ascii="Times New Roman" w:hAnsi="Times New Roman" w:cs="Times New Roman"/>
          <w:lang w:val="en-US"/>
        </w:rPr>
        <w:t>Draft landscape and tracker of COVID-19 candidate vaccines. [Internet] [Consultado 3 ago 2021] Disponible en: https://www.who.int/ publications/m/item/draft-landscape-of-covid-19-candidate-vaccines</w:t>
      </w:r>
    </w:p>
    <w:p w14:paraId="0D67935C" w14:textId="77777777" w:rsidR="00072DA5" w:rsidRPr="00DE0483" w:rsidRDefault="00072DA5" w:rsidP="00072DA5">
      <w:pPr>
        <w:spacing w:after="0" w:line="360" w:lineRule="auto"/>
        <w:jc w:val="both"/>
        <w:rPr>
          <w:rStyle w:val="A14"/>
          <w:rFonts w:ascii="Times New Roman" w:hAnsi="Times New Roman" w:cs="Times New Roman"/>
          <w:sz w:val="24"/>
          <w:szCs w:val="24"/>
        </w:rPr>
      </w:pPr>
    </w:p>
    <w:p w14:paraId="7F1317FC" w14:textId="1A8C24AC" w:rsidR="00072DA5" w:rsidRPr="00072DA5" w:rsidRDefault="00072DA5" w:rsidP="00072DA5">
      <w:pPr>
        <w:spacing w:line="360" w:lineRule="auto"/>
        <w:jc w:val="both"/>
        <w:rPr>
          <w:rStyle w:val="A14"/>
          <w:rFonts w:ascii="Times New Roman" w:hAnsi="Times New Roman" w:cs="Times New Roman"/>
          <w:sz w:val="24"/>
          <w:szCs w:val="24"/>
          <w:lang w:val="es-CO"/>
        </w:rPr>
      </w:pPr>
      <w:r w:rsidRPr="00157CB1">
        <w:rPr>
          <w:rStyle w:val="A14"/>
          <w:rFonts w:ascii="Times New Roman" w:hAnsi="Times New Roman" w:cs="Times New Roman"/>
          <w:sz w:val="24"/>
          <w:szCs w:val="24"/>
          <w:lang w:val="pt-BR"/>
        </w:rPr>
        <w:t xml:space="preserve">4. Ramírez, J. Vacunas para COVID-19. </w:t>
      </w:r>
      <w:r w:rsidRPr="00072DA5">
        <w:rPr>
          <w:rStyle w:val="A14"/>
          <w:rFonts w:ascii="Times New Roman" w:hAnsi="Times New Roman" w:cs="Times New Roman"/>
          <w:sz w:val="24"/>
          <w:szCs w:val="24"/>
          <w:lang w:val="es-CO"/>
        </w:rPr>
        <w:t>2020. Disponible en: alatorax.org</w:t>
      </w:r>
    </w:p>
    <w:p w14:paraId="083F3EB9" w14:textId="1D8CA516" w:rsidR="00C57643" w:rsidRDefault="003E75C0" w:rsidP="00C57643">
      <w:pPr>
        <w:spacing w:after="0" w:line="240" w:lineRule="auto"/>
        <w:jc w:val="both"/>
        <w:rPr>
          <w:rFonts w:ascii="Times New Roman" w:eastAsia="Times New Roman" w:hAnsi="Times New Roman" w:cs="Times New Roman"/>
          <w:color w:val="222222"/>
          <w:sz w:val="24"/>
          <w:szCs w:val="24"/>
          <w:lang w:val="es-CO" w:eastAsia="es-CO"/>
        </w:rPr>
      </w:pPr>
      <w:r>
        <w:rPr>
          <w:rFonts w:ascii="Times New Roman" w:eastAsia="Times New Roman" w:hAnsi="Times New Roman" w:cs="Times New Roman"/>
          <w:color w:val="222222"/>
          <w:sz w:val="24"/>
          <w:szCs w:val="24"/>
          <w:shd w:val="clear" w:color="auto" w:fill="FFFFFF"/>
          <w:lang w:val="es-CO" w:eastAsia="es-CO"/>
        </w:rPr>
        <w:t>5</w:t>
      </w:r>
      <w:r w:rsidR="00C57643" w:rsidRPr="00FB2EDC">
        <w:rPr>
          <w:rFonts w:ascii="Times New Roman" w:eastAsia="Times New Roman" w:hAnsi="Times New Roman" w:cs="Times New Roman"/>
          <w:color w:val="222222"/>
          <w:sz w:val="24"/>
          <w:szCs w:val="24"/>
          <w:shd w:val="clear" w:color="auto" w:fill="FFFFFF"/>
          <w:lang w:val="es-CO" w:eastAsia="es-CO"/>
        </w:rPr>
        <w:t>.</w:t>
      </w:r>
      <w:r>
        <w:rPr>
          <w:rFonts w:ascii="Times New Roman" w:eastAsia="Times New Roman" w:hAnsi="Times New Roman" w:cs="Times New Roman"/>
          <w:color w:val="222222"/>
          <w:sz w:val="24"/>
          <w:szCs w:val="24"/>
          <w:shd w:val="clear" w:color="auto" w:fill="FFFFFF"/>
          <w:lang w:val="es-CO" w:eastAsia="es-CO"/>
        </w:rPr>
        <w:t xml:space="preserve"> </w:t>
      </w:r>
      <w:r w:rsidR="00C57643" w:rsidRPr="00FB2EDC">
        <w:rPr>
          <w:rFonts w:ascii="Times New Roman" w:eastAsia="Times New Roman" w:hAnsi="Times New Roman" w:cs="Times New Roman"/>
          <w:color w:val="222222"/>
          <w:sz w:val="24"/>
          <w:szCs w:val="24"/>
          <w:lang w:val="es-CO" w:eastAsia="es-CO"/>
        </w:rPr>
        <w:t>Baden, LR </w:t>
      </w:r>
      <w:r w:rsidR="00C57643" w:rsidRPr="00FB2EDC">
        <w:rPr>
          <w:rFonts w:ascii="Times New Roman" w:eastAsia="Times New Roman" w:hAnsi="Times New Roman" w:cs="Times New Roman"/>
          <w:i/>
          <w:iCs/>
          <w:color w:val="222222"/>
          <w:sz w:val="24"/>
          <w:szCs w:val="24"/>
          <w:lang w:val="es-CO" w:eastAsia="es-CO"/>
        </w:rPr>
        <w:t>y col. </w:t>
      </w:r>
      <w:r w:rsidR="00C57643" w:rsidRPr="00FB2EDC">
        <w:rPr>
          <w:rFonts w:ascii="Times New Roman" w:eastAsia="Times New Roman" w:hAnsi="Times New Roman" w:cs="Times New Roman"/>
          <w:color w:val="222222"/>
          <w:sz w:val="24"/>
          <w:szCs w:val="24"/>
          <w:lang w:val="es-CO" w:eastAsia="es-CO"/>
        </w:rPr>
        <w:t>Eficacia y seguridad de la vacuna mRNA-1273 SARS-CoV-2. </w:t>
      </w:r>
      <w:r w:rsidR="00C57643" w:rsidRPr="00FB2EDC">
        <w:rPr>
          <w:rFonts w:ascii="Times New Roman" w:eastAsia="Times New Roman" w:hAnsi="Times New Roman" w:cs="Times New Roman"/>
          <w:i/>
          <w:iCs/>
          <w:color w:val="222222"/>
          <w:sz w:val="24"/>
          <w:szCs w:val="24"/>
          <w:lang w:val="es-CO" w:eastAsia="es-CO"/>
        </w:rPr>
        <w:t>N. Engl. J. Med. </w:t>
      </w:r>
      <w:r w:rsidR="00C57643" w:rsidRPr="00711E3D">
        <w:rPr>
          <w:rFonts w:ascii="Times New Roman" w:eastAsia="Times New Roman" w:hAnsi="Times New Roman" w:cs="Times New Roman"/>
          <w:color w:val="222222"/>
          <w:sz w:val="24"/>
          <w:szCs w:val="24"/>
          <w:lang w:val="es-CO" w:eastAsia="es-CO"/>
        </w:rPr>
        <w:t>384</w:t>
      </w:r>
      <w:r w:rsidR="00C57643" w:rsidRPr="00FB2EDC">
        <w:rPr>
          <w:rFonts w:ascii="Times New Roman" w:eastAsia="Times New Roman" w:hAnsi="Times New Roman" w:cs="Times New Roman"/>
          <w:color w:val="222222"/>
          <w:sz w:val="24"/>
          <w:szCs w:val="24"/>
          <w:lang w:val="es-CO" w:eastAsia="es-CO"/>
        </w:rPr>
        <w:t> (5), 403–416 (2021).</w:t>
      </w:r>
    </w:p>
    <w:p w14:paraId="7D55E56B" w14:textId="77777777" w:rsidR="00C57643" w:rsidRPr="00FB2EDC" w:rsidRDefault="00C57643" w:rsidP="00C57643">
      <w:pPr>
        <w:spacing w:after="0" w:line="240" w:lineRule="auto"/>
        <w:jc w:val="both"/>
        <w:rPr>
          <w:rFonts w:ascii="Times New Roman" w:eastAsia="Times New Roman" w:hAnsi="Times New Roman" w:cs="Times New Roman"/>
          <w:color w:val="222222"/>
          <w:sz w:val="24"/>
          <w:szCs w:val="24"/>
          <w:lang w:val="es-CO" w:eastAsia="es-CO"/>
        </w:rPr>
      </w:pPr>
    </w:p>
    <w:p w14:paraId="634F2C23" w14:textId="5766CB28" w:rsidR="00C57643" w:rsidRPr="00FB2EDC" w:rsidRDefault="003E75C0" w:rsidP="00C57643">
      <w:pPr>
        <w:spacing w:after="0" w:line="240" w:lineRule="auto"/>
        <w:jc w:val="both"/>
        <w:rPr>
          <w:rFonts w:ascii="Times New Roman" w:eastAsia="Times New Roman" w:hAnsi="Times New Roman" w:cs="Times New Roman"/>
          <w:color w:val="222222"/>
          <w:sz w:val="24"/>
          <w:szCs w:val="24"/>
          <w:lang w:val="es-CO" w:eastAsia="es-CO"/>
        </w:rPr>
      </w:pPr>
      <w:r>
        <w:rPr>
          <w:rFonts w:ascii="Times New Roman" w:eastAsia="Times New Roman" w:hAnsi="Times New Roman" w:cs="Times New Roman"/>
          <w:color w:val="222222"/>
          <w:sz w:val="24"/>
          <w:szCs w:val="24"/>
          <w:shd w:val="clear" w:color="auto" w:fill="FFFFFF"/>
          <w:lang w:val="es-CO" w:eastAsia="es-CO"/>
        </w:rPr>
        <w:t>6</w:t>
      </w:r>
      <w:r w:rsidR="00C57643" w:rsidRPr="00FB2EDC">
        <w:rPr>
          <w:rFonts w:ascii="Times New Roman" w:eastAsia="Times New Roman" w:hAnsi="Times New Roman" w:cs="Times New Roman"/>
          <w:color w:val="222222"/>
          <w:sz w:val="24"/>
          <w:szCs w:val="24"/>
          <w:shd w:val="clear" w:color="auto" w:fill="FFFFFF"/>
          <w:lang w:val="es-CO" w:eastAsia="es-CO"/>
        </w:rPr>
        <w:t>.</w:t>
      </w:r>
      <w:r>
        <w:rPr>
          <w:rFonts w:ascii="Times New Roman" w:eastAsia="Times New Roman" w:hAnsi="Times New Roman" w:cs="Times New Roman"/>
          <w:color w:val="222222"/>
          <w:sz w:val="24"/>
          <w:szCs w:val="24"/>
          <w:shd w:val="clear" w:color="auto" w:fill="FFFFFF"/>
          <w:lang w:val="es-CO" w:eastAsia="es-CO"/>
        </w:rPr>
        <w:t xml:space="preserve"> </w:t>
      </w:r>
      <w:r w:rsidR="00C57643" w:rsidRPr="00FB2EDC">
        <w:rPr>
          <w:rFonts w:ascii="Times New Roman" w:eastAsia="Times New Roman" w:hAnsi="Times New Roman" w:cs="Times New Roman"/>
          <w:color w:val="222222"/>
          <w:sz w:val="24"/>
          <w:szCs w:val="24"/>
          <w:lang w:val="es-CO" w:eastAsia="es-CO"/>
        </w:rPr>
        <w:t>Dagan, N. </w:t>
      </w:r>
      <w:r w:rsidR="00C57643" w:rsidRPr="00FB2EDC">
        <w:rPr>
          <w:rFonts w:ascii="Times New Roman" w:eastAsia="Times New Roman" w:hAnsi="Times New Roman" w:cs="Times New Roman"/>
          <w:i/>
          <w:iCs/>
          <w:color w:val="222222"/>
          <w:sz w:val="24"/>
          <w:szCs w:val="24"/>
          <w:lang w:val="es-CO" w:eastAsia="es-CO"/>
        </w:rPr>
        <w:t>y col. </w:t>
      </w:r>
      <w:r w:rsidR="00C57643" w:rsidRPr="00FB2EDC">
        <w:rPr>
          <w:rFonts w:ascii="Times New Roman" w:eastAsia="Times New Roman" w:hAnsi="Times New Roman" w:cs="Times New Roman"/>
          <w:color w:val="222222"/>
          <w:sz w:val="24"/>
          <w:szCs w:val="24"/>
          <w:lang w:val="es-CO" w:eastAsia="es-CO"/>
        </w:rPr>
        <w:t>Vacuna BNT162b2 mRNA Covid-19 en un entorno de vacunación masiva a nivel nacional. </w:t>
      </w:r>
      <w:r w:rsidR="00C57643" w:rsidRPr="00FB2EDC">
        <w:rPr>
          <w:rFonts w:ascii="Times New Roman" w:eastAsia="Times New Roman" w:hAnsi="Times New Roman" w:cs="Times New Roman"/>
          <w:i/>
          <w:iCs/>
          <w:color w:val="222222"/>
          <w:sz w:val="24"/>
          <w:szCs w:val="24"/>
          <w:lang w:val="es-CO" w:eastAsia="es-CO"/>
        </w:rPr>
        <w:t>N. Engl. J. Med. </w:t>
      </w:r>
      <w:r w:rsidR="00C57643" w:rsidRPr="00C57643">
        <w:rPr>
          <w:rFonts w:ascii="Times New Roman" w:eastAsia="Times New Roman" w:hAnsi="Times New Roman" w:cs="Times New Roman"/>
          <w:color w:val="222222"/>
          <w:sz w:val="24"/>
          <w:szCs w:val="24"/>
          <w:lang w:val="es-CO" w:eastAsia="es-CO"/>
        </w:rPr>
        <w:t>384</w:t>
      </w:r>
      <w:r w:rsidR="00C57643" w:rsidRPr="00FB2EDC">
        <w:rPr>
          <w:rFonts w:ascii="Times New Roman" w:eastAsia="Times New Roman" w:hAnsi="Times New Roman" w:cs="Times New Roman"/>
          <w:color w:val="222222"/>
          <w:sz w:val="24"/>
          <w:szCs w:val="24"/>
          <w:lang w:val="es-CO" w:eastAsia="es-CO"/>
        </w:rPr>
        <w:t>, 1412-1423 (2021).</w:t>
      </w:r>
    </w:p>
    <w:p w14:paraId="6F5D14B3" w14:textId="77777777" w:rsidR="00C57643" w:rsidRPr="00FB2EDC" w:rsidRDefault="00C57643" w:rsidP="00C57643">
      <w:pPr>
        <w:spacing w:after="0" w:line="240" w:lineRule="auto"/>
        <w:jc w:val="both"/>
        <w:rPr>
          <w:rFonts w:ascii="Times New Roman" w:eastAsia="Times New Roman" w:hAnsi="Times New Roman" w:cs="Times New Roman"/>
          <w:color w:val="222222"/>
          <w:sz w:val="24"/>
          <w:szCs w:val="24"/>
          <w:lang w:val="es-CO" w:eastAsia="es-CO"/>
        </w:rPr>
      </w:pPr>
    </w:p>
    <w:p w14:paraId="60F01CFF" w14:textId="3E8A0665" w:rsidR="00C57643" w:rsidRPr="00DE0483" w:rsidRDefault="003E75C0" w:rsidP="00C57643">
      <w:pPr>
        <w:spacing w:after="0" w:line="240" w:lineRule="auto"/>
        <w:jc w:val="both"/>
        <w:rPr>
          <w:rFonts w:ascii="Times New Roman" w:eastAsia="Times New Roman" w:hAnsi="Times New Roman" w:cs="Times New Roman"/>
          <w:color w:val="222222"/>
          <w:sz w:val="24"/>
          <w:szCs w:val="24"/>
          <w:lang w:eastAsia="es-CO"/>
        </w:rPr>
      </w:pPr>
      <w:r>
        <w:rPr>
          <w:rFonts w:ascii="Times New Roman" w:eastAsia="Times New Roman" w:hAnsi="Times New Roman" w:cs="Times New Roman"/>
          <w:color w:val="222222"/>
          <w:sz w:val="24"/>
          <w:szCs w:val="24"/>
          <w:shd w:val="clear" w:color="auto" w:fill="FFFFFF"/>
          <w:lang w:val="es-CO" w:eastAsia="es-CO"/>
        </w:rPr>
        <w:t>7</w:t>
      </w:r>
      <w:r w:rsidR="00C57643" w:rsidRPr="00FB2EDC">
        <w:rPr>
          <w:rFonts w:ascii="Times New Roman" w:eastAsia="Times New Roman" w:hAnsi="Times New Roman" w:cs="Times New Roman"/>
          <w:color w:val="222222"/>
          <w:sz w:val="24"/>
          <w:szCs w:val="24"/>
          <w:shd w:val="clear" w:color="auto" w:fill="FFFFFF"/>
          <w:lang w:val="es-CO" w:eastAsia="es-CO"/>
        </w:rPr>
        <w:t>.</w:t>
      </w:r>
      <w:r>
        <w:rPr>
          <w:rFonts w:ascii="Times New Roman" w:eastAsia="Times New Roman" w:hAnsi="Times New Roman" w:cs="Times New Roman"/>
          <w:color w:val="222222"/>
          <w:sz w:val="24"/>
          <w:szCs w:val="24"/>
          <w:shd w:val="clear" w:color="auto" w:fill="FFFFFF"/>
          <w:lang w:val="es-CO" w:eastAsia="es-CO"/>
        </w:rPr>
        <w:t xml:space="preserve"> </w:t>
      </w:r>
      <w:r w:rsidR="00C57643" w:rsidRPr="00FB2EDC">
        <w:rPr>
          <w:rFonts w:ascii="Times New Roman" w:eastAsia="Times New Roman" w:hAnsi="Times New Roman" w:cs="Times New Roman"/>
          <w:color w:val="222222"/>
          <w:sz w:val="24"/>
          <w:szCs w:val="24"/>
          <w:lang w:val="es-CO" w:eastAsia="es-CO"/>
        </w:rPr>
        <w:t>Polack, FP </w:t>
      </w:r>
      <w:r w:rsidR="00C57643" w:rsidRPr="00FB2EDC">
        <w:rPr>
          <w:rFonts w:ascii="Times New Roman" w:eastAsia="Times New Roman" w:hAnsi="Times New Roman" w:cs="Times New Roman"/>
          <w:i/>
          <w:iCs/>
          <w:color w:val="222222"/>
          <w:sz w:val="24"/>
          <w:szCs w:val="24"/>
          <w:lang w:val="es-CO" w:eastAsia="es-CO"/>
        </w:rPr>
        <w:t>y col. </w:t>
      </w:r>
      <w:r w:rsidR="00C57643" w:rsidRPr="00FB2EDC">
        <w:rPr>
          <w:rFonts w:ascii="Times New Roman" w:eastAsia="Times New Roman" w:hAnsi="Times New Roman" w:cs="Times New Roman"/>
          <w:color w:val="222222"/>
          <w:sz w:val="24"/>
          <w:szCs w:val="24"/>
          <w:lang w:val="es-CO" w:eastAsia="es-CO"/>
        </w:rPr>
        <w:t>Seguridad y eficacia de la vacuna BNT162b2 mRNA Covid-19. </w:t>
      </w:r>
      <w:r w:rsidR="00C57643" w:rsidRPr="00DE0483">
        <w:rPr>
          <w:rFonts w:ascii="Times New Roman" w:eastAsia="Times New Roman" w:hAnsi="Times New Roman" w:cs="Times New Roman"/>
          <w:i/>
          <w:iCs/>
          <w:color w:val="222222"/>
          <w:sz w:val="24"/>
          <w:szCs w:val="24"/>
          <w:lang w:eastAsia="es-CO"/>
        </w:rPr>
        <w:t>N. Engl. J. Med. </w:t>
      </w:r>
      <w:r w:rsidR="00C57643" w:rsidRPr="00DE0483">
        <w:rPr>
          <w:rFonts w:ascii="Times New Roman" w:eastAsia="Times New Roman" w:hAnsi="Times New Roman" w:cs="Times New Roman"/>
          <w:color w:val="222222"/>
          <w:sz w:val="24"/>
          <w:szCs w:val="24"/>
          <w:lang w:eastAsia="es-CO"/>
        </w:rPr>
        <w:t>383 (27), 2603–2615 (2020).</w:t>
      </w:r>
    </w:p>
    <w:p w14:paraId="502416AC" w14:textId="1386B75A" w:rsidR="002D6E59" w:rsidRPr="00DE0483" w:rsidRDefault="002D6E59" w:rsidP="00C57643">
      <w:pPr>
        <w:spacing w:after="0" w:line="240" w:lineRule="auto"/>
        <w:jc w:val="both"/>
        <w:rPr>
          <w:rFonts w:ascii="Times New Roman" w:eastAsia="Times New Roman" w:hAnsi="Times New Roman" w:cs="Times New Roman"/>
          <w:color w:val="222222"/>
          <w:sz w:val="24"/>
          <w:szCs w:val="24"/>
          <w:lang w:eastAsia="es-CO"/>
        </w:rPr>
      </w:pPr>
    </w:p>
    <w:p w14:paraId="2C354A86" w14:textId="7216C698" w:rsidR="002D6E59" w:rsidRPr="00157CB1" w:rsidRDefault="002D6E59" w:rsidP="002D6E59">
      <w:pPr>
        <w:spacing w:line="240" w:lineRule="auto"/>
        <w:jc w:val="both"/>
        <w:rPr>
          <w:rStyle w:val="A14"/>
          <w:rFonts w:ascii="Times New Roman" w:hAnsi="Times New Roman" w:cs="Times New Roman"/>
          <w:sz w:val="24"/>
          <w:szCs w:val="24"/>
        </w:rPr>
      </w:pPr>
      <w:r>
        <w:rPr>
          <w:rStyle w:val="A14"/>
          <w:rFonts w:ascii="Times New Roman" w:hAnsi="Times New Roman" w:cs="Times New Roman"/>
          <w:sz w:val="24"/>
          <w:szCs w:val="24"/>
        </w:rPr>
        <w:t>8</w:t>
      </w:r>
      <w:r w:rsidRPr="00157CB1">
        <w:rPr>
          <w:rStyle w:val="A14"/>
          <w:rFonts w:ascii="Times New Roman" w:hAnsi="Times New Roman" w:cs="Times New Roman"/>
          <w:sz w:val="24"/>
          <w:szCs w:val="24"/>
        </w:rPr>
        <w:t>.</w:t>
      </w:r>
      <w:r w:rsidRPr="00157CB1">
        <w:rPr>
          <w:rFonts w:ascii="Times New Roman" w:hAnsi="Times New Roman" w:cs="Times New Roman"/>
          <w:sz w:val="24"/>
          <w:szCs w:val="24"/>
        </w:rPr>
        <w:t xml:space="preserve"> CDC. Emerging SARS-CoV-2 Variants. [Internet] [Consultado 3 ago 2021] Disponible en: https://www.cdc.gov/coronavirus/2019-ncov/more/ science-and-research/scientific-brief-emerging-variants.htm</w:t>
      </w:r>
    </w:p>
    <w:p w14:paraId="1378CEF3" w14:textId="10FFF973" w:rsidR="002D6E59" w:rsidRDefault="002D6E59" w:rsidP="002D6E59">
      <w:pPr>
        <w:spacing w:after="0" w:line="240" w:lineRule="auto"/>
        <w:jc w:val="both"/>
        <w:rPr>
          <w:rStyle w:val="A14"/>
          <w:rFonts w:ascii="Times New Roman" w:hAnsi="Times New Roman" w:cs="Times New Roman"/>
          <w:sz w:val="24"/>
          <w:szCs w:val="24"/>
        </w:rPr>
      </w:pPr>
      <w:r>
        <w:rPr>
          <w:rStyle w:val="A14"/>
          <w:rFonts w:ascii="Times New Roman" w:hAnsi="Times New Roman" w:cs="Times New Roman"/>
          <w:sz w:val="24"/>
          <w:szCs w:val="24"/>
        </w:rPr>
        <w:t>9</w:t>
      </w:r>
      <w:r w:rsidRPr="00157CB1">
        <w:rPr>
          <w:rStyle w:val="A14"/>
          <w:rFonts w:ascii="Times New Roman" w:hAnsi="Times New Roman" w:cs="Times New Roman"/>
          <w:sz w:val="24"/>
          <w:szCs w:val="24"/>
        </w:rPr>
        <w:t>. Kostoff RN, Briggs MB, Porter AL, Spandidos DA et al., COVID-19 vacci</w:t>
      </w:r>
      <w:r w:rsidRPr="00157CB1">
        <w:rPr>
          <w:rStyle w:val="A14"/>
          <w:rFonts w:ascii="Times New Roman" w:hAnsi="Times New Roman" w:cs="Times New Roman"/>
          <w:sz w:val="24"/>
          <w:szCs w:val="24"/>
        </w:rPr>
        <w:softHyphen/>
        <w:t>ne safety. Int J Mol Med. 2020 Nov;46(5):1599-1602. https://www.ncbi. nlm.nih.gov/pmc/articles/PMC7521561/pdf/ijmm-46-05-1599.pdf</w:t>
      </w:r>
    </w:p>
    <w:p w14:paraId="4711600F" w14:textId="009EEA88" w:rsidR="00C9010A" w:rsidRDefault="00C9010A" w:rsidP="002D6E59">
      <w:pPr>
        <w:spacing w:after="0" w:line="240" w:lineRule="auto"/>
        <w:jc w:val="both"/>
        <w:rPr>
          <w:rStyle w:val="A14"/>
          <w:rFonts w:ascii="Times New Roman" w:hAnsi="Times New Roman" w:cs="Times New Roman"/>
          <w:sz w:val="24"/>
          <w:szCs w:val="24"/>
        </w:rPr>
      </w:pPr>
    </w:p>
    <w:p w14:paraId="44B86D84" w14:textId="70652FE9" w:rsidR="00C9010A" w:rsidRPr="00157CB1" w:rsidRDefault="00C9010A" w:rsidP="00C9010A">
      <w:pPr>
        <w:pStyle w:val="Pa23"/>
        <w:jc w:val="both"/>
        <w:rPr>
          <w:rStyle w:val="A14"/>
          <w:rFonts w:ascii="Times New Roman" w:hAnsi="Times New Roman" w:cs="Times New Roman"/>
          <w:sz w:val="24"/>
          <w:szCs w:val="24"/>
          <w:lang w:val="en-US"/>
        </w:rPr>
      </w:pPr>
      <w:r>
        <w:rPr>
          <w:rStyle w:val="A14"/>
          <w:rFonts w:ascii="Times New Roman" w:hAnsi="Times New Roman" w:cs="Times New Roman"/>
          <w:sz w:val="24"/>
          <w:szCs w:val="24"/>
          <w:lang w:val="en-US"/>
        </w:rPr>
        <w:t>10</w:t>
      </w:r>
      <w:r w:rsidRPr="00157CB1">
        <w:rPr>
          <w:rStyle w:val="A14"/>
          <w:rFonts w:ascii="Times New Roman" w:hAnsi="Times New Roman" w:cs="Times New Roman"/>
          <w:sz w:val="24"/>
          <w:szCs w:val="24"/>
          <w:lang w:val="en-US"/>
        </w:rPr>
        <w:t>. Krause PR, Gruber MF. Emergency Use Authorization of Covid Vaccines - Safety and Efficacy Follow-up Considerations. N Engl J Med 2020 Nov 5;383(19): e107. https://www.nejm.org/doi/pdf/10.1056/ NEJMp2031373?articleTools=true</w:t>
      </w:r>
    </w:p>
    <w:p w14:paraId="724E3DA3" w14:textId="77777777" w:rsidR="00C9010A" w:rsidRPr="00157CB1" w:rsidRDefault="00C9010A" w:rsidP="00C9010A">
      <w:pPr>
        <w:spacing w:after="0" w:line="240" w:lineRule="auto"/>
        <w:jc w:val="both"/>
        <w:rPr>
          <w:rStyle w:val="A14"/>
          <w:rFonts w:ascii="Times New Roman" w:hAnsi="Times New Roman" w:cs="Times New Roman"/>
          <w:sz w:val="24"/>
          <w:szCs w:val="24"/>
        </w:rPr>
      </w:pPr>
    </w:p>
    <w:p w14:paraId="3E9F8A81" w14:textId="3E4575BB" w:rsidR="00C9010A" w:rsidRPr="00157CB1" w:rsidRDefault="00C9010A" w:rsidP="00C9010A">
      <w:pPr>
        <w:pStyle w:val="Pa23"/>
        <w:jc w:val="both"/>
        <w:rPr>
          <w:rFonts w:ascii="Times New Roman" w:hAnsi="Times New Roman" w:cs="Times New Roman"/>
          <w:color w:val="000000"/>
          <w:lang w:val="fr-FR"/>
        </w:rPr>
      </w:pPr>
      <w:r>
        <w:rPr>
          <w:rStyle w:val="A14"/>
          <w:rFonts w:ascii="Times New Roman" w:hAnsi="Times New Roman" w:cs="Times New Roman"/>
          <w:sz w:val="24"/>
          <w:szCs w:val="24"/>
          <w:lang w:val="en-US"/>
        </w:rPr>
        <w:t>11</w:t>
      </w:r>
      <w:r w:rsidRPr="00157CB1">
        <w:rPr>
          <w:rStyle w:val="A14"/>
          <w:rFonts w:ascii="Times New Roman" w:hAnsi="Times New Roman" w:cs="Times New Roman"/>
          <w:sz w:val="24"/>
          <w:szCs w:val="24"/>
          <w:lang w:val="en-US"/>
        </w:rPr>
        <w:t xml:space="preserve">. Anywaine </w:t>
      </w:r>
      <w:r w:rsidR="000B0D7B" w:rsidRPr="00157CB1">
        <w:rPr>
          <w:rStyle w:val="A14"/>
          <w:rFonts w:ascii="Times New Roman" w:hAnsi="Times New Roman" w:cs="Times New Roman"/>
          <w:sz w:val="24"/>
          <w:szCs w:val="24"/>
          <w:lang w:val="en-US"/>
        </w:rPr>
        <w:t>Z,</w:t>
      </w:r>
      <w:r w:rsidRPr="00157CB1">
        <w:rPr>
          <w:rStyle w:val="A14"/>
          <w:rFonts w:ascii="Times New Roman" w:hAnsi="Times New Roman" w:cs="Times New Roman"/>
          <w:sz w:val="24"/>
          <w:szCs w:val="24"/>
          <w:lang w:val="en-US"/>
        </w:rPr>
        <w:t xml:space="preserve"> Whitworth </w:t>
      </w:r>
      <w:r w:rsidR="000B0D7B" w:rsidRPr="00157CB1">
        <w:rPr>
          <w:rStyle w:val="A14"/>
          <w:rFonts w:ascii="Times New Roman" w:hAnsi="Times New Roman" w:cs="Times New Roman"/>
          <w:sz w:val="24"/>
          <w:szCs w:val="24"/>
          <w:lang w:val="en-US"/>
        </w:rPr>
        <w:t>H, Kaleebu</w:t>
      </w:r>
      <w:r w:rsidRPr="00157CB1">
        <w:rPr>
          <w:rStyle w:val="A14"/>
          <w:rFonts w:ascii="Times New Roman" w:hAnsi="Times New Roman" w:cs="Times New Roman"/>
          <w:sz w:val="24"/>
          <w:szCs w:val="24"/>
          <w:lang w:val="en-US"/>
        </w:rPr>
        <w:t xml:space="preserve"> </w:t>
      </w:r>
      <w:r w:rsidR="000B0D7B" w:rsidRPr="00157CB1">
        <w:rPr>
          <w:rStyle w:val="A14"/>
          <w:rFonts w:ascii="Times New Roman" w:hAnsi="Times New Roman" w:cs="Times New Roman"/>
          <w:sz w:val="24"/>
          <w:szCs w:val="24"/>
          <w:lang w:val="en-US"/>
        </w:rPr>
        <w:t>P.</w:t>
      </w:r>
      <w:r w:rsidRPr="00157CB1">
        <w:rPr>
          <w:rStyle w:val="A14"/>
          <w:rFonts w:ascii="Times New Roman" w:hAnsi="Times New Roman" w:cs="Times New Roman"/>
          <w:sz w:val="24"/>
          <w:szCs w:val="24"/>
          <w:lang w:val="en-US"/>
        </w:rPr>
        <w:t xml:space="preserve"> Safety and Immunogenicity of a 2-Dose Heterologous Vaccination Regimen </w:t>
      </w:r>
      <w:r w:rsidR="000B0D7B" w:rsidRPr="00157CB1">
        <w:rPr>
          <w:rStyle w:val="A14"/>
          <w:rFonts w:ascii="Times New Roman" w:hAnsi="Times New Roman" w:cs="Times New Roman"/>
          <w:sz w:val="24"/>
          <w:szCs w:val="24"/>
          <w:lang w:val="en-US"/>
        </w:rPr>
        <w:t>with</w:t>
      </w:r>
      <w:r w:rsidRPr="00157CB1">
        <w:rPr>
          <w:rStyle w:val="A14"/>
          <w:rFonts w:ascii="Times New Roman" w:hAnsi="Times New Roman" w:cs="Times New Roman"/>
          <w:sz w:val="24"/>
          <w:szCs w:val="24"/>
          <w:lang w:val="en-US"/>
        </w:rPr>
        <w:t xml:space="preserve"> Ad26.ZEBOV and MVA-BN-Filo Ebola Vac: 12-Month Data From a Phase 1 Randomized Clinical Trial in Uganda and Tanzania. </w:t>
      </w:r>
      <w:r w:rsidRPr="00157CB1">
        <w:rPr>
          <w:rStyle w:val="A14"/>
          <w:rFonts w:ascii="Times New Roman" w:hAnsi="Times New Roman" w:cs="Times New Roman"/>
          <w:sz w:val="24"/>
          <w:szCs w:val="24"/>
          <w:lang w:val="fr-FR"/>
        </w:rPr>
        <w:t xml:space="preserve">J Infect Dis 2019 Jun 5;220(1):46-56. </w:t>
      </w:r>
    </w:p>
    <w:p w14:paraId="09914D1C" w14:textId="77777777" w:rsidR="00C9010A" w:rsidRPr="00157CB1" w:rsidRDefault="00000000" w:rsidP="00C9010A">
      <w:pPr>
        <w:spacing w:after="0" w:line="240" w:lineRule="auto"/>
        <w:jc w:val="both"/>
        <w:rPr>
          <w:rStyle w:val="A14"/>
          <w:rFonts w:ascii="Times New Roman" w:hAnsi="Times New Roman" w:cs="Times New Roman"/>
          <w:sz w:val="24"/>
          <w:szCs w:val="24"/>
          <w:lang w:val="fr-FR"/>
        </w:rPr>
      </w:pPr>
      <w:hyperlink r:id="rId14" w:history="1">
        <w:r w:rsidR="00C9010A" w:rsidRPr="00157CB1">
          <w:rPr>
            <w:rStyle w:val="Hipervnculo"/>
            <w:rFonts w:ascii="Times New Roman" w:hAnsi="Times New Roman" w:cs="Times New Roman"/>
            <w:sz w:val="24"/>
            <w:szCs w:val="24"/>
            <w:lang w:val="fr-FR"/>
          </w:rPr>
          <w:t>https://www.ncbi.nlm.nih.gov/pmc/articles/PMC6548900/pdf/jiz070.pdf</w:t>
        </w:r>
      </w:hyperlink>
    </w:p>
    <w:p w14:paraId="2647E146" w14:textId="77777777" w:rsidR="00C9010A" w:rsidRPr="00157CB1" w:rsidRDefault="00C9010A" w:rsidP="00C9010A">
      <w:pPr>
        <w:spacing w:after="0" w:line="240" w:lineRule="auto"/>
        <w:jc w:val="both"/>
        <w:rPr>
          <w:rStyle w:val="A14"/>
          <w:rFonts w:ascii="Times New Roman" w:hAnsi="Times New Roman" w:cs="Times New Roman"/>
          <w:sz w:val="24"/>
          <w:szCs w:val="24"/>
          <w:lang w:val="fr-FR"/>
        </w:rPr>
      </w:pPr>
    </w:p>
    <w:p w14:paraId="2E99F374" w14:textId="4C8BD4D4" w:rsidR="00C9010A" w:rsidRPr="00157CB1" w:rsidRDefault="00C9010A" w:rsidP="00C9010A">
      <w:pPr>
        <w:pStyle w:val="Pa23"/>
        <w:jc w:val="both"/>
        <w:rPr>
          <w:rStyle w:val="A14"/>
          <w:rFonts w:ascii="Times New Roman" w:hAnsi="Times New Roman" w:cs="Times New Roman"/>
          <w:sz w:val="24"/>
          <w:szCs w:val="24"/>
          <w:lang w:val="en-US"/>
        </w:rPr>
      </w:pPr>
      <w:r>
        <w:rPr>
          <w:rStyle w:val="A14"/>
          <w:rFonts w:ascii="Times New Roman" w:hAnsi="Times New Roman" w:cs="Times New Roman"/>
          <w:sz w:val="24"/>
          <w:szCs w:val="24"/>
          <w:lang w:val="en-US"/>
        </w:rPr>
        <w:t>12</w:t>
      </w:r>
      <w:r w:rsidRPr="00157CB1">
        <w:rPr>
          <w:rStyle w:val="A14"/>
          <w:rFonts w:ascii="Times New Roman" w:hAnsi="Times New Roman" w:cs="Times New Roman"/>
          <w:sz w:val="24"/>
          <w:szCs w:val="24"/>
          <w:lang w:val="en-US"/>
        </w:rPr>
        <w:t xml:space="preserve">. </w:t>
      </w:r>
      <w:r w:rsidR="000B0D7B" w:rsidRPr="00157CB1">
        <w:rPr>
          <w:rStyle w:val="A14"/>
          <w:rFonts w:ascii="Times New Roman" w:hAnsi="Times New Roman" w:cs="Times New Roman"/>
          <w:sz w:val="24"/>
          <w:szCs w:val="24"/>
          <w:lang w:val="en-US"/>
        </w:rPr>
        <w:t>Posthuman</w:t>
      </w:r>
      <w:r w:rsidRPr="00157CB1">
        <w:rPr>
          <w:rStyle w:val="A14"/>
          <w:rFonts w:ascii="Times New Roman" w:hAnsi="Times New Roman" w:cs="Times New Roman"/>
          <w:sz w:val="24"/>
          <w:szCs w:val="24"/>
          <w:lang w:val="en-US"/>
        </w:rPr>
        <w:t xml:space="preserve"> </w:t>
      </w:r>
      <w:r w:rsidR="0073217A" w:rsidRPr="00157CB1">
        <w:rPr>
          <w:rStyle w:val="A14"/>
          <w:rFonts w:ascii="Times New Roman" w:hAnsi="Times New Roman" w:cs="Times New Roman"/>
          <w:sz w:val="24"/>
          <w:szCs w:val="24"/>
          <w:lang w:val="en-US"/>
        </w:rPr>
        <w:t>J, Egilman</w:t>
      </w:r>
      <w:r w:rsidRPr="00157CB1">
        <w:rPr>
          <w:rStyle w:val="A14"/>
          <w:rFonts w:ascii="Times New Roman" w:hAnsi="Times New Roman" w:cs="Times New Roman"/>
          <w:sz w:val="24"/>
          <w:szCs w:val="24"/>
          <w:lang w:val="en-US"/>
        </w:rPr>
        <w:t xml:space="preserve"> </w:t>
      </w:r>
      <w:r w:rsidR="00260A2E" w:rsidRPr="00157CB1">
        <w:rPr>
          <w:rStyle w:val="A14"/>
          <w:rFonts w:ascii="Times New Roman" w:hAnsi="Times New Roman" w:cs="Times New Roman"/>
          <w:sz w:val="24"/>
          <w:szCs w:val="24"/>
          <w:lang w:val="en-US"/>
        </w:rPr>
        <w:t>AC,</w:t>
      </w:r>
      <w:r w:rsidRPr="00157CB1">
        <w:rPr>
          <w:rStyle w:val="A14"/>
          <w:rFonts w:ascii="Times New Roman" w:hAnsi="Times New Roman" w:cs="Times New Roman"/>
          <w:sz w:val="24"/>
          <w:szCs w:val="24"/>
          <w:lang w:val="en-US"/>
        </w:rPr>
        <w:t xml:space="preserve"> Zhang AD, et al. Speed, Evidence, and Safety Characteristics of Vaccine Approvals by the US Food and Drug Adminis</w:t>
      </w:r>
      <w:r w:rsidRPr="00157CB1">
        <w:rPr>
          <w:rStyle w:val="A14"/>
          <w:rFonts w:ascii="Times New Roman" w:hAnsi="Times New Roman" w:cs="Times New Roman"/>
          <w:sz w:val="24"/>
          <w:szCs w:val="24"/>
          <w:lang w:val="en-US"/>
        </w:rPr>
        <w:softHyphen/>
        <w:t xml:space="preserve">tration. JAMA Intern Med 2020 Nov 10. </w:t>
      </w:r>
      <w:hyperlink r:id="rId15" w:history="1">
        <w:r w:rsidRPr="00157CB1">
          <w:rPr>
            <w:rStyle w:val="Hipervnculo"/>
            <w:rFonts w:ascii="Times New Roman" w:hAnsi="Times New Roman" w:cs="Times New Roman"/>
            <w:lang w:val="en-US"/>
          </w:rPr>
          <w:t>https://jamanetwork.com/journals/jamainternalmedicine/fullarti</w:t>
        </w:r>
        <w:r w:rsidRPr="00157CB1">
          <w:rPr>
            <w:rStyle w:val="Hipervnculo"/>
            <w:rFonts w:ascii="Times New Roman" w:hAnsi="Times New Roman" w:cs="Times New Roman"/>
            <w:lang w:val="en-US"/>
          </w:rPr>
          <w:softHyphen/>
          <w:t>cle/2772943</w:t>
        </w:r>
      </w:hyperlink>
    </w:p>
    <w:p w14:paraId="631D6562" w14:textId="77777777" w:rsidR="00C9010A" w:rsidRPr="00157CB1" w:rsidRDefault="00C9010A" w:rsidP="00C9010A">
      <w:pPr>
        <w:spacing w:after="0" w:line="240" w:lineRule="auto"/>
        <w:jc w:val="both"/>
        <w:rPr>
          <w:rStyle w:val="A14"/>
          <w:rFonts w:ascii="Times New Roman" w:hAnsi="Times New Roman" w:cs="Times New Roman"/>
          <w:sz w:val="24"/>
          <w:szCs w:val="24"/>
        </w:rPr>
      </w:pPr>
    </w:p>
    <w:p w14:paraId="79C73BF0" w14:textId="07D1190A" w:rsidR="00C9010A" w:rsidRPr="003C2C3C" w:rsidRDefault="00C9010A" w:rsidP="00C9010A">
      <w:pPr>
        <w:pStyle w:val="Pa23"/>
        <w:jc w:val="both"/>
        <w:rPr>
          <w:rStyle w:val="A14"/>
          <w:rFonts w:ascii="Times New Roman" w:hAnsi="Times New Roman" w:cs="Times New Roman"/>
          <w:sz w:val="24"/>
          <w:szCs w:val="24"/>
          <w:lang w:val="en-US"/>
        </w:rPr>
      </w:pPr>
      <w:r w:rsidRPr="00157CB1">
        <w:rPr>
          <w:rStyle w:val="A14"/>
          <w:rFonts w:ascii="Times New Roman" w:hAnsi="Times New Roman" w:cs="Times New Roman"/>
          <w:sz w:val="24"/>
          <w:szCs w:val="24"/>
          <w:lang w:val="it-IT"/>
        </w:rPr>
        <w:t>1</w:t>
      </w:r>
      <w:r>
        <w:rPr>
          <w:rStyle w:val="A14"/>
          <w:rFonts w:ascii="Times New Roman" w:hAnsi="Times New Roman" w:cs="Times New Roman"/>
          <w:sz w:val="24"/>
          <w:szCs w:val="24"/>
          <w:lang w:val="it-IT"/>
        </w:rPr>
        <w:t>3</w:t>
      </w:r>
      <w:r w:rsidRPr="00157CB1">
        <w:rPr>
          <w:rStyle w:val="A14"/>
          <w:rFonts w:ascii="Times New Roman" w:hAnsi="Times New Roman" w:cs="Times New Roman"/>
          <w:sz w:val="24"/>
          <w:szCs w:val="24"/>
          <w:lang w:val="it-IT"/>
        </w:rPr>
        <w:t xml:space="preserve">. Spinola SM, Zimet GD , Ott MA, et al. </w:t>
      </w:r>
      <w:r w:rsidRPr="00157CB1">
        <w:rPr>
          <w:rStyle w:val="A14"/>
          <w:rFonts w:ascii="Times New Roman" w:hAnsi="Times New Roman" w:cs="Times New Roman"/>
          <w:sz w:val="24"/>
          <w:szCs w:val="24"/>
          <w:lang w:val="en-US"/>
        </w:rPr>
        <w:t>Human Challenge Studies</w:t>
      </w:r>
      <w:r w:rsidRPr="003C2C3C">
        <w:rPr>
          <w:rStyle w:val="A14"/>
          <w:rFonts w:ascii="Times New Roman" w:hAnsi="Times New Roman" w:cs="Times New Roman"/>
          <w:sz w:val="24"/>
          <w:szCs w:val="24"/>
          <w:lang w:val="en-US"/>
        </w:rPr>
        <w:t xml:space="preserve"> Are Un</w:t>
      </w:r>
      <w:r w:rsidRPr="003C2C3C">
        <w:rPr>
          <w:rStyle w:val="A14"/>
          <w:rFonts w:ascii="Times New Roman" w:hAnsi="Times New Roman" w:cs="Times New Roman"/>
          <w:sz w:val="24"/>
          <w:szCs w:val="24"/>
          <w:lang w:val="en-US"/>
        </w:rPr>
        <w:softHyphen/>
        <w:t>likely to Accelerate Coronavirus Vaccine Licensure Due to Ethical and Practical Issues. J Infect Dis 2020 Oct 1;222(9):1572-1574</w:t>
      </w:r>
      <w:r>
        <w:rPr>
          <w:rStyle w:val="A14"/>
          <w:rFonts w:ascii="Times New Roman" w:hAnsi="Times New Roman" w:cs="Times New Roman"/>
          <w:sz w:val="24"/>
          <w:szCs w:val="24"/>
          <w:lang w:val="en-US"/>
        </w:rPr>
        <w:t xml:space="preserve">. </w:t>
      </w:r>
      <w:r w:rsidRPr="003C2C3C">
        <w:rPr>
          <w:rStyle w:val="A14"/>
          <w:rFonts w:ascii="Times New Roman" w:hAnsi="Times New Roman" w:cs="Times New Roman"/>
          <w:sz w:val="24"/>
          <w:szCs w:val="24"/>
          <w:lang w:val="en-US"/>
        </w:rPr>
        <w:t>https://www.ncbi.nlm.nih.gov/pmc/articles/PMC7499586/pdf/jiaa457. pdf</w:t>
      </w:r>
    </w:p>
    <w:p w14:paraId="6B535022" w14:textId="77777777" w:rsidR="00C9010A" w:rsidRDefault="00C9010A" w:rsidP="00C9010A">
      <w:pPr>
        <w:spacing w:after="0" w:line="240" w:lineRule="auto"/>
        <w:jc w:val="both"/>
        <w:rPr>
          <w:rStyle w:val="A14"/>
          <w:rFonts w:ascii="Times New Roman" w:hAnsi="Times New Roman" w:cs="Times New Roman"/>
          <w:sz w:val="24"/>
          <w:szCs w:val="24"/>
        </w:rPr>
      </w:pPr>
    </w:p>
    <w:p w14:paraId="7636228E" w14:textId="34562CE1" w:rsidR="00C9010A" w:rsidRPr="008D0CAF" w:rsidRDefault="00C9010A" w:rsidP="00C9010A">
      <w:pPr>
        <w:spacing w:line="360" w:lineRule="auto"/>
        <w:jc w:val="both"/>
        <w:rPr>
          <w:rFonts w:ascii="Times New Roman" w:hAnsi="Times New Roman" w:cs="Times New Roman"/>
          <w:sz w:val="24"/>
          <w:szCs w:val="24"/>
          <w:shd w:val="clear" w:color="auto" w:fill="FFFFFF"/>
          <w:lang w:val="es-CO"/>
        </w:rPr>
      </w:pPr>
      <w:r>
        <w:rPr>
          <w:rFonts w:ascii="Times New Roman" w:hAnsi="Times New Roman" w:cs="Times New Roman"/>
          <w:sz w:val="24"/>
          <w:szCs w:val="24"/>
          <w:shd w:val="clear" w:color="auto" w:fill="FFFFFF"/>
          <w:lang w:val="es-CO"/>
        </w:rPr>
        <w:t>14</w:t>
      </w:r>
      <w:r w:rsidRPr="008D0CAF">
        <w:rPr>
          <w:rFonts w:ascii="Times New Roman" w:hAnsi="Times New Roman" w:cs="Times New Roman"/>
          <w:sz w:val="24"/>
          <w:szCs w:val="24"/>
          <w:shd w:val="clear" w:color="auto" w:fill="FFFFFF"/>
          <w:lang w:val="es-CO"/>
        </w:rPr>
        <w:t>. Cataño, J. Aguirre, H. Vacunación del adulto en tiempos de COVID-19. Corporación de Investigaciones Biológicas. Vol. 1 Número 2</w:t>
      </w:r>
      <w:r>
        <w:rPr>
          <w:rFonts w:ascii="Times New Roman" w:hAnsi="Times New Roman" w:cs="Times New Roman"/>
          <w:sz w:val="24"/>
          <w:szCs w:val="24"/>
          <w:shd w:val="clear" w:color="auto" w:fill="FFFFFF"/>
          <w:lang w:val="es-CO"/>
        </w:rPr>
        <w:t>,</w:t>
      </w:r>
      <w:r w:rsidRPr="008D0CAF">
        <w:rPr>
          <w:rFonts w:ascii="Times New Roman" w:hAnsi="Times New Roman" w:cs="Times New Roman"/>
          <w:sz w:val="24"/>
          <w:szCs w:val="24"/>
          <w:shd w:val="clear" w:color="auto" w:fill="FFFFFF"/>
          <w:lang w:val="es-CO"/>
        </w:rPr>
        <w:t xml:space="preserve"> octubre 1, 2020.</w:t>
      </w:r>
    </w:p>
    <w:p w14:paraId="2AAF1761" w14:textId="43598293" w:rsidR="00C57643" w:rsidRPr="007E5281" w:rsidRDefault="002D2D1E" w:rsidP="00C57643">
      <w:pPr>
        <w:shd w:val="clear" w:color="auto" w:fill="FFFFFF"/>
        <w:spacing w:after="0" w:line="240" w:lineRule="auto"/>
        <w:jc w:val="both"/>
        <w:rPr>
          <w:rFonts w:ascii="Times New Roman" w:hAnsi="Times New Roman" w:cs="Times New Roman"/>
          <w:sz w:val="24"/>
          <w:szCs w:val="24"/>
          <w:lang w:val="es-CO"/>
        </w:rPr>
      </w:pPr>
      <w:r>
        <w:rPr>
          <w:rFonts w:ascii="Times New Roman" w:hAnsi="Times New Roman" w:cs="Times New Roman"/>
          <w:sz w:val="24"/>
          <w:szCs w:val="24"/>
          <w:lang w:val="es-CO"/>
        </w:rPr>
        <w:t>15</w:t>
      </w:r>
      <w:r w:rsidR="00C57643" w:rsidRPr="007E5281">
        <w:rPr>
          <w:rFonts w:ascii="Times New Roman" w:hAnsi="Times New Roman" w:cs="Times New Roman"/>
          <w:sz w:val="24"/>
          <w:szCs w:val="24"/>
          <w:lang w:val="es-CO"/>
        </w:rPr>
        <w:t>. Kostoff RN, Briggs MB, Porter AL, Spandidos DA, Tsatsakis A: </w:t>
      </w:r>
      <w:hyperlink r:id="rId16" w:tgtFrame="_blank" w:history="1">
        <w:r w:rsidR="00C57643" w:rsidRPr="007E5281">
          <w:rPr>
            <w:rStyle w:val="Hipervnculo"/>
            <w:rFonts w:ascii="Times New Roman" w:hAnsi="Times New Roman" w:cs="Times New Roman"/>
            <w:color w:val="auto"/>
            <w:sz w:val="24"/>
            <w:szCs w:val="24"/>
            <w:u w:val="none"/>
            <w:lang w:val="es-CO"/>
          </w:rPr>
          <w:t>[Comentario] Seguridad de la vacuna COVID-19</w:t>
        </w:r>
      </w:hyperlink>
      <w:r w:rsidR="00C57643" w:rsidRPr="007E5281">
        <w:rPr>
          <w:rFonts w:ascii="Times New Roman" w:hAnsi="Times New Roman" w:cs="Times New Roman"/>
          <w:sz w:val="24"/>
          <w:szCs w:val="24"/>
          <w:lang w:val="es-CO"/>
        </w:rPr>
        <w:t> . Int J Mol Med. 2020, 46: 1599-602. </w:t>
      </w:r>
      <w:hyperlink r:id="rId17" w:tgtFrame="_blank" w:history="1">
        <w:r w:rsidR="00C57643" w:rsidRPr="00C57643">
          <w:rPr>
            <w:rStyle w:val="Hipervnculo"/>
            <w:rFonts w:ascii="Times New Roman" w:hAnsi="Times New Roman" w:cs="Times New Roman"/>
            <w:color w:val="auto"/>
            <w:sz w:val="24"/>
            <w:szCs w:val="24"/>
            <w:u w:val="none"/>
            <w:lang w:val="es-CO"/>
          </w:rPr>
          <w:t>10.3892 / ijmm.2020.4733</w:t>
        </w:r>
      </w:hyperlink>
    </w:p>
    <w:p w14:paraId="1A20B0AB" w14:textId="77777777" w:rsidR="00C57643" w:rsidRPr="007E5281" w:rsidRDefault="00C57643" w:rsidP="00C57643">
      <w:pPr>
        <w:shd w:val="clear" w:color="auto" w:fill="FFFFFF"/>
        <w:spacing w:after="0" w:line="240" w:lineRule="auto"/>
        <w:jc w:val="both"/>
        <w:rPr>
          <w:rFonts w:ascii="Times New Roman" w:hAnsi="Times New Roman" w:cs="Times New Roman"/>
          <w:sz w:val="24"/>
          <w:szCs w:val="24"/>
          <w:lang w:val="es-CO"/>
        </w:rPr>
      </w:pPr>
    </w:p>
    <w:p w14:paraId="73264E16" w14:textId="5A959F3F" w:rsidR="00C57643" w:rsidRPr="00C57643" w:rsidRDefault="002D2D1E" w:rsidP="00C57643">
      <w:pPr>
        <w:shd w:val="clear" w:color="auto" w:fill="FFFFFF"/>
        <w:spacing w:after="0" w:line="240" w:lineRule="auto"/>
        <w:jc w:val="both"/>
        <w:rPr>
          <w:rStyle w:val="citation-doi"/>
          <w:rFonts w:ascii="Times New Roman" w:hAnsi="Times New Roman" w:cs="Times New Roman"/>
          <w:sz w:val="24"/>
          <w:szCs w:val="24"/>
          <w:lang w:val="es-CO"/>
        </w:rPr>
      </w:pPr>
      <w:r>
        <w:rPr>
          <w:rFonts w:ascii="Times New Roman" w:hAnsi="Times New Roman" w:cs="Times New Roman"/>
          <w:sz w:val="24"/>
          <w:szCs w:val="24"/>
          <w:lang w:val="es-CO"/>
        </w:rPr>
        <w:t>16</w:t>
      </w:r>
      <w:r w:rsidR="00C57643" w:rsidRPr="007E5281">
        <w:rPr>
          <w:rFonts w:ascii="Times New Roman" w:hAnsi="Times New Roman" w:cs="Times New Roman"/>
          <w:sz w:val="24"/>
          <w:szCs w:val="24"/>
          <w:lang w:val="es-CO"/>
        </w:rPr>
        <w:t>. Calina D, Docea AO, Petrakis D, et al .: </w:t>
      </w:r>
      <w:hyperlink r:id="rId18" w:tgtFrame="_blank" w:history="1">
        <w:r w:rsidR="00C57643" w:rsidRPr="007E5281">
          <w:rPr>
            <w:rStyle w:val="Hipervnculo"/>
            <w:rFonts w:ascii="Times New Roman" w:hAnsi="Times New Roman" w:cs="Times New Roman"/>
            <w:color w:val="auto"/>
            <w:sz w:val="24"/>
            <w:szCs w:val="24"/>
            <w:u w:val="none"/>
            <w:lang w:val="es-CO"/>
          </w:rPr>
          <w:t>Hacia vacunas COVID-19 efectivas: actualizaciones, perspectivas y desafíos (Revisión)</w:t>
        </w:r>
      </w:hyperlink>
      <w:r w:rsidR="00C57643" w:rsidRPr="007E5281">
        <w:rPr>
          <w:rFonts w:ascii="Times New Roman" w:hAnsi="Times New Roman" w:cs="Times New Roman"/>
          <w:sz w:val="24"/>
          <w:szCs w:val="24"/>
          <w:lang w:val="es-CO"/>
        </w:rPr>
        <w:t> . Int J Mol Med. 2020, 46: 3-16. </w:t>
      </w:r>
      <w:hyperlink r:id="rId19" w:tgtFrame="_blank" w:history="1">
        <w:r w:rsidR="00C57643" w:rsidRPr="007E5281">
          <w:rPr>
            <w:rStyle w:val="Hipervnculo"/>
            <w:rFonts w:ascii="Times New Roman" w:hAnsi="Times New Roman" w:cs="Times New Roman"/>
            <w:color w:val="auto"/>
            <w:sz w:val="24"/>
            <w:szCs w:val="24"/>
            <w:u w:val="none"/>
            <w:lang w:val="es-CO"/>
          </w:rPr>
          <w:t>10.3892 / ijmm.2020.4596</w:t>
        </w:r>
      </w:hyperlink>
    </w:p>
    <w:p w14:paraId="1F8E8427" w14:textId="77777777" w:rsidR="00C57643" w:rsidRPr="007E5281" w:rsidRDefault="00C57643" w:rsidP="00C57643">
      <w:pPr>
        <w:shd w:val="clear" w:color="auto" w:fill="FFFFFF"/>
        <w:spacing w:after="0" w:line="240" w:lineRule="auto"/>
        <w:jc w:val="both"/>
        <w:rPr>
          <w:rFonts w:ascii="Times New Roman" w:hAnsi="Times New Roman" w:cs="Times New Roman"/>
          <w:sz w:val="24"/>
          <w:szCs w:val="24"/>
          <w:lang w:val="es-CO"/>
        </w:rPr>
      </w:pPr>
    </w:p>
    <w:p w14:paraId="39707DD9" w14:textId="5F7E4C4E" w:rsidR="00C57643" w:rsidRPr="007E5281" w:rsidRDefault="002D2D1E" w:rsidP="00C57643">
      <w:pPr>
        <w:shd w:val="clear" w:color="auto" w:fill="FFFFFF"/>
        <w:spacing w:after="0" w:line="240" w:lineRule="auto"/>
        <w:jc w:val="both"/>
        <w:rPr>
          <w:rFonts w:ascii="Times New Roman" w:hAnsi="Times New Roman" w:cs="Times New Roman"/>
          <w:sz w:val="24"/>
          <w:szCs w:val="24"/>
          <w:lang w:val="es-CO"/>
        </w:rPr>
      </w:pPr>
      <w:r>
        <w:rPr>
          <w:rFonts w:ascii="Times New Roman" w:hAnsi="Times New Roman" w:cs="Times New Roman"/>
          <w:sz w:val="24"/>
          <w:szCs w:val="24"/>
          <w:lang w:val="es-CO"/>
        </w:rPr>
        <w:t>17</w:t>
      </w:r>
      <w:r w:rsidR="00C57643" w:rsidRPr="007E5281">
        <w:rPr>
          <w:rFonts w:ascii="Times New Roman" w:hAnsi="Times New Roman" w:cs="Times New Roman"/>
          <w:sz w:val="24"/>
          <w:szCs w:val="24"/>
          <w:lang w:val="es-CO"/>
        </w:rPr>
        <w:t>. Agmon-Levin N, Paz Z, Israelí E, Shoenfeld Y: </w:t>
      </w:r>
      <w:hyperlink r:id="rId20" w:tgtFrame="_blank" w:history="1">
        <w:r w:rsidR="00C57643" w:rsidRPr="007E5281">
          <w:rPr>
            <w:rStyle w:val="Hipervnculo"/>
            <w:rFonts w:ascii="Times New Roman" w:hAnsi="Times New Roman" w:cs="Times New Roman"/>
            <w:color w:val="auto"/>
            <w:sz w:val="24"/>
            <w:szCs w:val="24"/>
            <w:u w:val="none"/>
            <w:lang w:val="es-CO"/>
          </w:rPr>
          <w:t>Vacunas y autoinmunidad</w:t>
        </w:r>
      </w:hyperlink>
      <w:r w:rsidR="00C57643" w:rsidRPr="007E5281">
        <w:rPr>
          <w:rFonts w:ascii="Times New Roman" w:hAnsi="Times New Roman" w:cs="Times New Roman"/>
          <w:sz w:val="24"/>
          <w:szCs w:val="24"/>
          <w:lang w:val="es-CO"/>
        </w:rPr>
        <w:t> . Nat Rev Rheumatol. 2009, 5: 648-52. </w:t>
      </w:r>
      <w:hyperlink r:id="rId21" w:tgtFrame="_blank" w:history="1">
        <w:r w:rsidR="00C57643" w:rsidRPr="007E5281">
          <w:rPr>
            <w:rStyle w:val="Hipervnculo"/>
            <w:rFonts w:ascii="Times New Roman" w:hAnsi="Times New Roman" w:cs="Times New Roman"/>
            <w:color w:val="auto"/>
            <w:sz w:val="24"/>
            <w:szCs w:val="24"/>
            <w:u w:val="none"/>
            <w:lang w:val="es-CO"/>
          </w:rPr>
          <w:t>10.1038 / nrrheum.2009.196</w:t>
        </w:r>
      </w:hyperlink>
    </w:p>
    <w:p w14:paraId="68F68A05" w14:textId="77777777" w:rsidR="00C57643" w:rsidRDefault="00C57643" w:rsidP="008B4FE1">
      <w:pPr>
        <w:spacing w:after="0" w:line="240" w:lineRule="auto"/>
        <w:jc w:val="both"/>
        <w:rPr>
          <w:rFonts w:ascii="Times New Roman" w:eastAsia="Times New Roman" w:hAnsi="Times New Roman" w:cs="Times New Roman"/>
          <w:sz w:val="24"/>
          <w:szCs w:val="24"/>
          <w:lang w:val="es-CO" w:eastAsia="es-CO"/>
        </w:rPr>
      </w:pPr>
    </w:p>
    <w:p w14:paraId="7FE435D1" w14:textId="525BACDD" w:rsidR="00C57643" w:rsidRDefault="002D2D1E" w:rsidP="00C57643">
      <w:pPr>
        <w:shd w:val="clear" w:color="auto" w:fill="FFFFFF"/>
        <w:spacing w:after="0" w:line="240" w:lineRule="auto"/>
        <w:jc w:val="both"/>
        <w:rPr>
          <w:rStyle w:val="Hipervnculo"/>
          <w:rFonts w:ascii="Times New Roman" w:hAnsi="Times New Roman" w:cs="Times New Roman"/>
          <w:color w:val="auto"/>
          <w:sz w:val="24"/>
          <w:szCs w:val="24"/>
          <w:u w:val="none"/>
          <w:lang w:val="es-CO"/>
        </w:rPr>
      </w:pPr>
      <w:r>
        <w:rPr>
          <w:rFonts w:ascii="Times New Roman" w:hAnsi="Times New Roman" w:cs="Times New Roman"/>
          <w:sz w:val="24"/>
          <w:szCs w:val="24"/>
          <w:lang w:val="es-CO"/>
        </w:rPr>
        <w:t>18</w:t>
      </w:r>
      <w:r w:rsidR="00C57643" w:rsidRPr="00606133">
        <w:rPr>
          <w:rFonts w:ascii="Times New Roman" w:hAnsi="Times New Roman" w:cs="Times New Roman"/>
          <w:sz w:val="24"/>
          <w:szCs w:val="24"/>
          <w:lang w:val="es-CO"/>
        </w:rPr>
        <w:t>.Doshi P: </w:t>
      </w:r>
      <w:hyperlink r:id="rId22" w:tgtFrame="_blank" w:history="1">
        <w:r w:rsidR="00C57643" w:rsidRPr="00606133">
          <w:rPr>
            <w:rStyle w:val="Hipervnculo"/>
            <w:rFonts w:ascii="Times New Roman" w:hAnsi="Times New Roman" w:cs="Times New Roman"/>
            <w:color w:val="auto"/>
            <w:sz w:val="24"/>
            <w:szCs w:val="24"/>
            <w:u w:val="none"/>
            <w:lang w:val="es-CO"/>
          </w:rPr>
          <w:t>¿Las vacunas covid-19 salvarán vidas? Los ensayos actuales no están diseñados para informarnos</w:t>
        </w:r>
      </w:hyperlink>
      <w:r w:rsidR="00C57643" w:rsidRPr="00606133">
        <w:rPr>
          <w:rFonts w:ascii="Times New Roman" w:hAnsi="Times New Roman" w:cs="Times New Roman"/>
          <w:sz w:val="24"/>
          <w:szCs w:val="24"/>
          <w:lang w:val="es-CO"/>
        </w:rPr>
        <w:t> . </w:t>
      </w:r>
      <w:r w:rsidR="00C57643" w:rsidRPr="007A6EC0">
        <w:rPr>
          <w:rFonts w:ascii="Times New Roman" w:hAnsi="Times New Roman" w:cs="Times New Roman"/>
          <w:sz w:val="24"/>
          <w:szCs w:val="24"/>
          <w:lang w:val="es-CO"/>
        </w:rPr>
        <w:t>BMJ. 2020, 371: m4037. </w:t>
      </w:r>
      <w:hyperlink r:id="rId23" w:tgtFrame="_blank" w:history="1">
        <w:r w:rsidR="00C57643" w:rsidRPr="007A6EC0">
          <w:rPr>
            <w:rStyle w:val="Hipervnculo"/>
            <w:rFonts w:ascii="Times New Roman" w:hAnsi="Times New Roman" w:cs="Times New Roman"/>
            <w:color w:val="auto"/>
            <w:sz w:val="24"/>
            <w:szCs w:val="24"/>
            <w:u w:val="none"/>
            <w:lang w:val="es-CO"/>
          </w:rPr>
          <w:t>10.1136 / bmj.m4037</w:t>
        </w:r>
      </w:hyperlink>
      <w:r>
        <w:rPr>
          <w:rStyle w:val="Hipervnculo"/>
          <w:rFonts w:ascii="Times New Roman" w:hAnsi="Times New Roman" w:cs="Times New Roman"/>
          <w:color w:val="auto"/>
          <w:sz w:val="24"/>
          <w:szCs w:val="24"/>
          <w:u w:val="none"/>
          <w:lang w:val="es-CO"/>
        </w:rPr>
        <w:t xml:space="preserve"> </w:t>
      </w:r>
    </w:p>
    <w:p w14:paraId="22037B9F" w14:textId="77777777" w:rsidR="002D2D1E" w:rsidRPr="00606133" w:rsidRDefault="002D2D1E" w:rsidP="00C57643">
      <w:pPr>
        <w:shd w:val="clear" w:color="auto" w:fill="FFFFFF"/>
        <w:spacing w:after="0" w:line="240" w:lineRule="auto"/>
        <w:jc w:val="both"/>
        <w:rPr>
          <w:rFonts w:ascii="Times New Roman" w:hAnsi="Times New Roman" w:cs="Times New Roman"/>
          <w:sz w:val="24"/>
          <w:szCs w:val="24"/>
          <w:lang w:val="es-CO"/>
        </w:rPr>
      </w:pPr>
    </w:p>
    <w:p w14:paraId="7E80CC7D" w14:textId="3326D494" w:rsidR="00C57643" w:rsidRPr="00DE0483" w:rsidRDefault="002D2D1E" w:rsidP="00C57643">
      <w:pPr>
        <w:shd w:val="clear" w:color="auto" w:fill="FFFFFF"/>
        <w:spacing w:after="0" w:line="240" w:lineRule="auto"/>
        <w:jc w:val="both"/>
        <w:rPr>
          <w:rFonts w:ascii="Times New Roman" w:hAnsi="Times New Roman" w:cs="Times New Roman"/>
          <w:sz w:val="24"/>
          <w:szCs w:val="24"/>
          <w:lang w:val="es-CO"/>
        </w:rPr>
      </w:pPr>
      <w:r>
        <w:rPr>
          <w:rFonts w:ascii="Times New Roman" w:hAnsi="Times New Roman" w:cs="Times New Roman"/>
          <w:sz w:val="24"/>
          <w:szCs w:val="24"/>
          <w:shd w:val="clear" w:color="auto" w:fill="FFFFFF"/>
          <w:lang w:val="es-CO"/>
        </w:rPr>
        <w:t>19</w:t>
      </w:r>
      <w:r w:rsidR="00C57643" w:rsidRPr="00606133">
        <w:rPr>
          <w:rFonts w:ascii="Times New Roman" w:hAnsi="Times New Roman" w:cs="Times New Roman"/>
          <w:sz w:val="24"/>
          <w:szCs w:val="24"/>
          <w:shd w:val="clear" w:color="auto" w:fill="FFFFFF"/>
          <w:lang w:val="es-CO"/>
        </w:rPr>
        <w:t xml:space="preserve">. </w:t>
      </w:r>
      <w:r w:rsidR="00C57643" w:rsidRPr="00606133">
        <w:rPr>
          <w:rFonts w:ascii="Times New Roman" w:hAnsi="Times New Roman" w:cs="Times New Roman"/>
          <w:sz w:val="24"/>
          <w:szCs w:val="24"/>
          <w:lang w:val="es-CO"/>
        </w:rPr>
        <w:t>Mathioudakis AG, Ghrew M, Ustianowski A, et al. </w:t>
      </w:r>
      <w:r w:rsidR="00C57643" w:rsidRPr="007A6EC0">
        <w:rPr>
          <w:rFonts w:ascii="Times New Roman" w:hAnsi="Times New Roman" w:cs="Times New Roman"/>
          <w:sz w:val="24"/>
          <w:szCs w:val="24"/>
          <w:lang w:val="es-CO"/>
        </w:rPr>
        <w:t>Seguridad y reactogenicidad en el mundo real autoinformada de las vacunas COVID-19: una encuesta de receptores de vacunas</w:t>
      </w:r>
      <w:r w:rsidR="00C57643" w:rsidRPr="00606133">
        <w:rPr>
          <w:rFonts w:ascii="Times New Roman" w:hAnsi="Times New Roman" w:cs="Times New Roman"/>
          <w:sz w:val="24"/>
          <w:szCs w:val="24"/>
          <w:lang w:val="es-CO"/>
        </w:rPr>
        <w:t>. </w:t>
      </w:r>
      <w:r w:rsidR="00C57643" w:rsidRPr="00DE0483">
        <w:rPr>
          <w:rFonts w:ascii="Times New Roman" w:hAnsi="Times New Roman" w:cs="Times New Roman"/>
          <w:sz w:val="24"/>
          <w:szCs w:val="24"/>
          <w:lang w:val="es-CO"/>
        </w:rPr>
        <w:t>Life (Basilea). 2021, 11: 249. </w:t>
      </w:r>
      <w:hyperlink r:id="rId24" w:tgtFrame="_blank" w:history="1">
        <w:r w:rsidR="00C57643" w:rsidRPr="00DE0483">
          <w:rPr>
            <w:rStyle w:val="Hipervnculo"/>
            <w:rFonts w:ascii="Times New Roman" w:hAnsi="Times New Roman" w:cs="Times New Roman"/>
            <w:color w:val="auto"/>
            <w:sz w:val="24"/>
            <w:szCs w:val="24"/>
            <w:u w:val="none"/>
            <w:lang w:val="es-CO"/>
          </w:rPr>
          <w:t>10.3390 / life11030249</w:t>
        </w:r>
      </w:hyperlink>
    </w:p>
    <w:p w14:paraId="3316AE03" w14:textId="77777777" w:rsidR="00C57643" w:rsidRPr="00DE0483" w:rsidRDefault="00C57643" w:rsidP="00C57643">
      <w:pPr>
        <w:shd w:val="clear" w:color="auto" w:fill="FFFFFF"/>
        <w:spacing w:after="0" w:line="240" w:lineRule="auto"/>
        <w:jc w:val="both"/>
        <w:rPr>
          <w:rFonts w:ascii="Times New Roman" w:hAnsi="Times New Roman" w:cs="Times New Roman"/>
          <w:sz w:val="24"/>
          <w:szCs w:val="24"/>
          <w:lang w:val="es-CO"/>
        </w:rPr>
      </w:pPr>
    </w:p>
    <w:p w14:paraId="2ACF9E48" w14:textId="6E1C826F" w:rsidR="003C2C3C" w:rsidRDefault="002D2D1E" w:rsidP="008B4FE1">
      <w:pPr>
        <w:spacing w:after="0" w:line="240" w:lineRule="auto"/>
        <w:jc w:val="both"/>
        <w:rPr>
          <w:rFonts w:ascii="Times New Roman" w:hAnsi="Times New Roman" w:cs="Times New Roman"/>
          <w:sz w:val="24"/>
          <w:szCs w:val="24"/>
          <w:lang w:val="es-CO"/>
        </w:rPr>
      </w:pPr>
      <w:r>
        <w:rPr>
          <w:rFonts w:ascii="Times New Roman" w:eastAsia="Times New Roman" w:hAnsi="Times New Roman" w:cs="Times New Roman"/>
          <w:sz w:val="24"/>
          <w:szCs w:val="24"/>
          <w:lang w:val="es-CO" w:eastAsia="es-CO"/>
        </w:rPr>
        <w:t>20</w:t>
      </w:r>
      <w:r w:rsidR="00411A7E">
        <w:rPr>
          <w:rFonts w:ascii="Times New Roman" w:eastAsia="Times New Roman" w:hAnsi="Times New Roman" w:cs="Times New Roman"/>
          <w:sz w:val="24"/>
          <w:szCs w:val="24"/>
          <w:lang w:val="es-CO" w:eastAsia="es-CO"/>
        </w:rPr>
        <w:t xml:space="preserve">. </w:t>
      </w:r>
      <w:r w:rsidR="00411A7E" w:rsidRPr="006E17A7">
        <w:rPr>
          <w:rFonts w:ascii="Times New Roman" w:hAnsi="Times New Roman" w:cs="Times New Roman"/>
          <w:sz w:val="24"/>
          <w:szCs w:val="24"/>
          <w:lang w:val="es-CO"/>
        </w:rPr>
        <w:t>Ministerio de Salud y Protección Social de Colombia</w:t>
      </w:r>
      <w:r w:rsidR="00411A7E">
        <w:rPr>
          <w:rFonts w:ascii="Times New Roman" w:hAnsi="Times New Roman" w:cs="Times New Roman"/>
          <w:sz w:val="24"/>
          <w:szCs w:val="24"/>
          <w:lang w:val="es-CO"/>
        </w:rPr>
        <w:t xml:space="preserve">. Plan de vacunación nacional contra COVID-19. Disponible en: </w:t>
      </w:r>
      <w:hyperlink r:id="rId25" w:history="1">
        <w:r w:rsidR="00411A7E" w:rsidRPr="00927835">
          <w:rPr>
            <w:rStyle w:val="Hipervnculo"/>
            <w:rFonts w:ascii="Times New Roman" w:hAnsi="Times New Roman" w:cs="Times New Roman"/>
            <w:sz w:val="24"/>
            <w:szCs w:val="24"/>
            <w:lang w:val="es-CO"/>
          </w:rPr>
          <w:t>https://www.minsalud.gov.co/salud/publica/Vacunacion/Paginas/Vacunacion-covid-19.aspx</w:t>
        </w:r>
      </w:hyperlink>
    </w:p>
    <w:p w14:paraId="0E1A6B41" w14:textId="77777777" w:rsidR="00411A7E" w:rsidRPr="007422A7" w:rsidRDefault="00411A7E" w:rsidP="008B4FE1">
      <w:pPr>
        <w:spacing w:after="0" w:line="240" w:lineRule="auto"/>
        <w:jc w:val="both"/>
        <w:rPr>
          <w:rStyle w:val="A14"/>
          <w:rFonts w:ascii="Times New Roman" w:hAnsi="Times New Roman" w:cs="Times New Roman"/>
          <w:sz w:val="24"/>
          <w:szCs w:val="24"/>
          <w:lang w:val="es-CO"/>
        </w:rPr>
      </w:pPr>
    </w:p>
    <w:p w14:paraId="4E885D24" w14:textId="452AF724" w:rsidR="00E1496D" w:rsidRPr="002C0B95" w:rsidRDefault="002D2D1E" w:rsidP="008B4FE1">
      <w:pPr>
        <w:spacing w:after="0" w:line="240" w:lineRule="auto"/>
        <w:jc w:val="both"/>
        <w:rPr>
          <w:rFonts w:ascii="Times New Roman" w:eastAsia="Times New Roman" w:hAnsi="Times New Roman" w:cs="Times New Roman"/>
          <w:color w:val="222222"/>
          <w:sz w:val="24"/>
          <w:szCs w:val="24"/>
          <w:lang w:val="es-CO" w:eastAsia="es-CO"/>
        </w:rPr>
      </w:pPr>
      <w:r>
        <w:rPr>
          <w:rFonts w:ascii="Times New Roman" w:hAnsi="Times New Roman" w:cs="Times New Roman"/>
          <w:color w:val="222222"/>
          <w:sz w:val="24"/>
          <w:szCs w:val="24"/>
          <w:shd w:val="clear" w:color="auto" w:fill="FFFFFF"/>
          <w:lang w:val="es-CO"/>
        </w:rPr>
        <w:t>21</w:t>
      </w:r>
      <w:r w:rsidR="00E1496D" w:rsidRPr="00D96D80">
        <w:rPr>
          <w:rFonts w:ascii="Times New Roman" w:hAnsi="Times New Roman" w:cs="Times New Roman"/>
          <w:color w:val="222222"/>
          <w:sz w:val="24"/>
          <w:szCs w:val="24"/>
          <w:shd w:val="clear" w:color="auto" w:fill="FFFFFF"/>
          <w:lang w:val="es-CO"/>
        </w:rPr>
        <w:t xml:space="preserve">. Díaz Pinzón, J. E. (2020). </w:t>
      </w:r>
      <w:r w:rsidR="00E1496D" w:rsidRPr="002C0B95">
        <w:rPr>
          <w:rFonts w:ascii="Times New Roman" w:hAnsi="Times New Roman" w:cs="Times New Roman"/>
          <w:color w:val="222222"/>
          <w:sz w:val="24"/>
          <w:szCs w:val="24"/>
          <w:shd w:val="clear" w:color="auto" w:fill="FFFFFF"/>
          <w:lang w:val="es-CO"/>
        </w:rPr>
        <w:t>Estimación de la prevalencia del COVID-19 en Colombia. </w:t>
      </w:r>
      <w:r w:rsidR="00E1496D" w:rsidRPr="002C0B95">
        <w:rPr>
          <w:rFonts w:ascii="Times New Roman" w:hAnsi="Times New Roman" w:cs="Times New Roman"/>
          <w:i/>
          <w:iCs/>
          <w:color w:val="222222"/>
          <w:sz w:val="24"/>
          <w:szCs w:val="24"/>
          <w:shd w:val="clear" w:color="auto" w:fill="FFFFFF"/>
          <w:lang w:val="es-CO"/>
        </w:rPr>
        <w:t>Revista Repertorio De Medicina Y Cirugía</w:t>
      </w:r>
      <w:r w:rsidR="00E1496D" w:rsidRPr="002C0B95">
        <w:rPr>
          <w:rFonts w:ascii="Times New Roman" w:hAnsi="Times New Roman" w:cs="Times New Roman"/>
          <w:color w:val="222222"/>
          <w:sz w:val="24"/>
          <w:szCs w:val="24"/>
          <w:shd w:val="clear" w:color="auto" w:fill="FFFFFF"/>
          <w:lang w:val="es-CO"/>
        </w:rPr>
        <w:t>, 99–102. https://doi.org/10.31260/RepertMedCir.01217372.1115</w:t>
      </w:r>
    </w:p>
    <w:p w14:paraId="782F461D" w14:textId="77777777" w:rsidR="002D2D1E" w:rsidRDefault="002D2D1E" w:rsidP="00E1496D">
      <w:pPr>
        <w:spacing w:after="0" w:line="240" w:lineRule="auto"/>
        <w:jc w:val="both"/>
        <w:rPr>
          <w:rFonts w:ascii="Times New Roman" w:hAnsi="Times New Roman" w:cs="Times New Roman"/>
          <w:color w:val="222222"/>
          <w:sz w:val="24"/>
          <w:szCs w:val="24"/>
          <w:shd w:val="clear" w:color="auto" w:fill="FFFFFF"/>
          <w:lang w:val="es-CO"/>
        </w:rPr>
      </w:pPr>
    </w:p>
    <w:p w14:paraId="614836D0" w14:textId="3ACF5091" w:rsidR="00E1496D" w:rsidRDefault="002D2D1E" w:rsidP="00E1496D">
      <w:pPr>
        <w:spacing w:after="0" w:line="240" w:lineRule="auto"/>
        <w:jc w:val="both"/>
        <w:rPr>
          <w:rStyle w:val="Hipervnculo"/>
          <w:rFonts w:ascii="Times New Roman" w:hAnsi="Times New Roman" w:cs="Times New Roman"/>
          <w:sz w:val="24"/>
          <w:szCs w:val="24"/>
          <w:shd w:val="clear" w:color="auto" w:fill="FFFFFF"/>
          <w:lang w:val="es-CO"/>
        </w:rPr>
      </w:pPr>
      <w:r>
        <w:rPr>
          <w:rFonts w:ascii="Times New Roman" w:hAnsi="Times New Roman" w:cs="Times New Roman"/>
          <w:color w:val="222222"/>
          <w:sz w:val="24"/>
          <w:szCs w:val="24"/>
          <w:shd w:val="clear" w:color="auto" w:fill="FFFFFF"/>
          <w:lang w:val="es-CO"/>
        </w:rPr>
        <w:t>22</w:t>
      </w:r>
      <w:r w:rsidR="00E1496D" w:rsidRPr="00601D8A">
        <w:rPr>
          <w:rFonts w:ascii="Times New Roman" w:hAnsi="Times New Roman" w:cs="Times New Roman"/>
          <w:color w:val="222222"/>
          <w:sz w:val="24"/>
          <w:szCs w:val="24"/>
          <w:shd w:val="clear" w:color="auto" w:fill="FFFFFF"/>
          <w:lang w:val="es-CO"/>
        </w:rPr>
        <w:t>. Díaz Pinzón, J. E. (2020). Análisis de los resultados del contagio del COVID-19 respecto a su distribución geográfica en Colombia. </w:t>
      </w:r>
      <w:r w:rsidR="00E1496D" w:rsidRPr="00601D8A">
        <w:rPr>
          <w:rFonts w:ascii="Times New Roman" w:hAnsi="Times New Roman" w:cs="Times New Roman"/>
          <w:i/>
          <w:iCs/>
          <w:color w:val="222222"/>
          <w:sz w:val="24"/>
          <w:szCs w:val="24"/>
          <w:shd w:val="clear" w:color="auto" w:fill="FFFFFF"/>
          <w:lang w:val="es-CO"/>
        </w:rPr>
        <w:t>Revista Repertorio De Medicina Y Cirugía</w:t>
      </w:r>
      <w:r w:rsidR="00E1496D" w:rsidRPr="00601D8A">
        <w:rPr>
          <w:rFonts w:ascii="Times New Roman" w:hAnsi="Times New Roman" w:cs="Times New Roman"/>
          <w:color w:val="222222"/>
          <w:sz w:val="24"/>
          <w:szCs w:val="24"/>
          <w:shd w:val="clear" w:color="auto" w:fill="FFFFFF"/>
          <w:lang w:val="es-CO"/>
        </w:rPr>
        <w:t xml:space="preserve">, 60–64. </w:t>
      </w:r>
      <w:hyperlink r:id="rId26" w:history="1">
        <w:r w:rsidR="00E1496D" w:rsidRPr="00601D8A">
          <w:rPr>
            <w:rStyle w:val="Hipervnculo"/>
            <w:rFonts w:ascii="Times New Roman" w:hAnsi="Times New Roman" w:cs="Times New Roman"/>
            <w:sz w:val="24"/>
            <w:szCs w:val="24"/>
            <w:shd w:val="clear" w:color="auto" w:fill="FFFFFF"/>
            <w:lang w:val="es-CO"/>
          </w:rPr>
          <w:t>https://doi.org/10.31260/RepertMedCir.01217372.1082</w:t>
        </w:r>
      </w:hyperlink>
    </w:p>
    <w:p w14:paraId="383202C8" w14:textId="77777777" w:rsidR="00706A06" w:rsidRPr="00601D8A" w:rsidRDefault="00706A06" w:rsidP="00E1496D">
      <w:pPr>
        <w:spacing w:after="0" w:line="240" w:lineRule="auto"/>
        <w:jc w:val="both"/>
        <w:rPr>
          <w:rFonts w:ascii="Times New Roman" w:hAnsi="Times New Roman" w:cs="Times New Roman"/>
          <w:color w:val="222222"/>
          <w:sz w:val="24"/>
          <w:szCs w:val="24"/>
          <w:shd w:val="clear" w:color="auto" w:fill="FFFFFF"/>
          <w:lang w:val="es-CO"/>
        </w:rPr>
      </w:pPr>
    </w:p>
    <w:p w14:paraId="1B88852E" w14:textId="30ECE675" w:rsidR="00E92018" w:rsidRDefault="002D2D1E" w:rsidP="000D60F9">
      <w:pPr>
        <w:autoSpaceDE w:val="0"/>
        <w:autoSpaceDN w:val="0"/>
        <w:adjustRightInd w:val="0"/>
        <w:spacing w:after="0" w:line="240" w:lineRule="auto"/>
        <w:jc w:val="both"/>
        <w:rPr>
          <w:rFonts w:ascii="Times New Roman" w:hAnsi="Times New Roman" w:cs="Times New Roman"/>
          <w:color w:val="222222"/>
          <w:sz w:val="24"/>
          <w:szCs w:val="24"/>
          <w:shd w:val="clear" w:color="auto" w:fill="FFFFFF"/>
          <w:lang w:val="es-CO"/>
        </w:rPr>
      </w:pPr>
      <w:r>
        <w:rPr>
          <w:rFonts w:ascii="Times New Roman" w:eastAsia="Times New Roman" w:hAnsi="Times New Roman" w:cs="Times New Roman"/>
          <w:color w:val="222222"/>
          <w:sz w:val="24"/>
          <w:szCs w:val="24"/>
          <w:lang w:val="es-CO" w:eastAsia="es-CO"/>
        </w:rPr>
        <w:t>23</w:t>
      </w:r>
      <w:r w:rsidR="00E1496D" w:rsidRPr="00E56BE5">
        <w:rPr>
          <w:rFonts w:ascii="Times New Roman" w:eastAsia="Times New Roman" w:hAnsi="Times New Roman" w:cs="Times New Roman"/>
          <w:color w:val="222222"/>
          <w:sz w:val="24"/>
          <w:szCs w:val="24"/>
          <w:lang w:val="es-CO" w:eastAsia="es-CO"/>
        </w:rPr>
        <w:t xml:space="preserve">. </w:t>
      </w:r>
      <w:r w:rsidR="00E1496D" w:rsidRPr="00E56BE5">
        <w:rPr>
          <w:rFonts w:ascii="Times New Roman" w:hAnsi="Times New Roman" w:cs="Times New Roman"/>
          <w:color w:val="222222"/>
          <w:sz w:val="24"/>
          <w:szCs w:val="24"/>
          <w:shd w:val="clear" w:color="auto" w:fill="FFFFFF"/>
          <w:lang w:val="es-CO"/>
        </w:rPr>
        <w:t>Díaz Pinzón, J. E. (2021). Dinámica y relación del contagio del COVID-19 después de iniciado el plan de vacunación contra el SARS-COV-2 en Colombia. </w:t>
      </w:r>
      <w:r w:rsidR="00E1496D" w:rsidRPr="00E56BE5">
        <w:rPr>
          <w:rFonts w:ascii="Times New Roman" w:hAnsi="Times New Roman" w:cs="Times New Roman"/>
          <w:i/>
          <w:iCs/>
          <w:color w:val="222222"/>
          <w:sz w:val="24"/>
          <w:szCs w:val="24"/>
          <w:shd w:val="clear" w:color="auto" w:fill="FFFFFF"/>
          <w:lang w:val="es-CO"/>
        </w:rPr>
        <w:t>Revista Repertorio De Medicina Y Cirugía</w:t>
      </w:r>
      <w:r w:rsidR="00E1496D" w:rsidRPr="00E56BE5">
        <w:rPr>
          <w:rFonts w:ascii="Times New Roman" w:hAnsi="Times New Roman" w:cs="Times New Roman"/>
          <w:color w:val="222222"/>
          <w:sz w:val="24"/>
          <w:szCs w:val="24"/>
          <w:shd w:val="clear" w:color="auto" w:fill="FFFFFF"/>
          <w:lang w:val="es-CO"/>
        </w:rPr>
        <w:t xml:space="preserve">, 41–45. </w:t>
      </w:r>
      <w:hyperlink r:id="rId27" w:history="1">
        <w:r w:rsidR="000B10B7" w:rsidRPr="00373590">
          <w:rPr>
            <w:rStyle w:val="Hipervnculo"/>
            <w:rFonts w:ascii="Times New Roman" w:hAnsi="Times New Roman" w:cs="Times New Roman"/>
            <w:sz w:val="24"/>
            <w:szCs w:val="24"/>
            <w:shd w:val="clear" w:color="auto" w:fill="FFFFFF"/>
            <w:lang w:val="es-CO"/>
          </w:rPr>
          <w:t>https://doi.org/10.31260/RepertM</w:t>
        </w:r>
      </w:hyperlink>
    </w:p>
    <w:p w14:paraId="6CBFB458" w14:textId="1A942CE7" w:rsidR="000B10B7" w:rsidRDefault="000B10B7" w:rsidP="00E1496D">
      <w:pPr>
        <w:autoSpaceDE w:val="0"/>
        <w:autoSpaceDN w:val="0"/>
        <w:adjustRightInd w:val="0"/>
        <w:spacing w:after="0" w:line="360" w:lineRule="auto"/>
        <w:jc w:val="both"/>
        <w:rPr>
          <w:rFonts w:ascii="Times New Roman" w:hAnsi="Times New Roman" w:cs="Times New Roman"/>
          <w:color w:val="222222"/>
          <w:sz w:val="24"/>
          <w:szCs w:val="24"/>
          <w:shd w:val="clear" w:color="auto" w:fill="FFFFFF"/>
          <w:lang w:val="es-CO"/>
        </w:rPr>
      </w:pPr>
    </w:p>
    <w:sectPr w:rsidR="000B10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tisSemiSans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2D9"/>
    <w:multiLevelType w:val="multilevel"/>
    <w:tmpl w:val="79B0F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A23FF"/>
    <w:multiLevelType w:val="multilevel"/>
    <w:tmpl w:val="3856B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BC2511"/>
    <w:multiLevelType w:val="multilevel"/>
    <w:tmpl w:val="7E68F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A551A5"/>
    <w:multiLevelType w:val="hybridMultilevel"/>
    <w:tmpl w:val="A4A25958"/>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C1D1F46"/>
    <w:multiLevelType w:val="multilevel"/>
    <w:tmpl w:val="110C4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685C10"/>
    <w:multiLevelType w:val="multilevel"/>
    <w:tmpl w:val="1FC66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C61AB3"/>
    <w:multiLevelType w:val="hybridMultilevel"/>
    <w:tmpl w:val="EC3C6D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2222D0"/>
    <w:multiLevelType w:val="hybridMultilevel"/>
    <w:tmpl w:val="8E829CBA"/>
    <w:lvl w:ilvl="0" w:tplc="240A000F">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92743E7"/>
    <w:multiLevelType w:val="hybridMultilevel"/>
    <w:tmpl w:val="03ECE98C"/>
    <w:lvl w:ilvl="0" w:tplc="240A000F">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88586825">
    <w:abstractNumId w:val="6"/>
  </w:num>
  <w:num w:numId="2" w16cid:durableId="714550093">
    <w:abstractNumId w:val="8"/>
  </w:num>
  <w:num w:numId="3" w16cid:durableId="1570269036">
    <w:abstractNumId w:val="5"/>
  </w:num>
  <w:num w:numId="4" w16cid:durableId="92213594">
    <w:abstractNumId w:val="4"/>
  </w:num>
  <w:num w:numId="5" w16cid:durableId="1449279158">
    <w:abstractNumId w:val="3"/>
  </w:num>
  <w:num w:numId="6" w16cid:durableId="1384213595">
    <w:abstractNumId w:val="2"/>
  </w:num>
  <w:num w:numId="7" w16cid:durableId="1593734451">
    <w:abstractNumId w:val="0"/>
  </w:num>
  <w:num w:numId="8" w16cid:durableId="1027944464">
    <w:abstractNumId w:val="7"/>
  </w:num>
  <w:num w:numId="9" w16cid:durableId="897666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018"/>
    <w:rsid w:val="000012BD"/>
    <w:rsid w:val="0000150C"/>
    <w:rsid w:val="00007295"/>
    <w:rsid w:val="00011D21"/>
    <w:rsid w:val="0003069C"/>
    <w:rsid w:val="000318C9"/>
    <w:rsid w:val="00037005"/>
    <w:rsid w:val="000433BC"/>
    <w:rsid w:val="0005170D"/>
    <w:rsid w:val="00056454"/>
    <w:rsid w:val="00072DA5"/>
    <w:rsid w:val="00073D72"/>
    <w:rsid w:val="00076632"/>
    <w:rsid w:val="00077630"/>
    <w:rsid w:val="00084F20"/>
    <w:rsid w:val="00085FE2"/>
    <w:rsid w:val="000A0268"/>
    <w:rsid w:val="000A1DB0"/>
    <w:rsid w:val="000A78B5"/>
    <w:rsid w:val="000B0D7B"/>
    <w:rsid w:val="000B10B7"/>
    <w:rsid w:val="000B5FC4"/>
    <w:rsid w:val="000B7B72"/>
    <w:rsid w:val="000C1838"/>
    <w:rsid w:val="000D60F9"/>
    <w:rsid w:val="000F387A"/>
    <w:rsid w:val="0011465C"/>
    <w:rsid w:val="00116ECC"/>
    <w:rsid w:val="00117327"/>
    <w:rsid w:val="001261A3"/>
    <w:rsid w:val="001262CA"/>
    <w:rsid w:val="00130C71"/>
    <w:rsid w:val="0015241F"/>
    <w:rsid w:val="00157CB1"/>
    <w:rsid w:val="00182154"/>
    <w:rsid w:val="00182DA1"/>
    <w:rsid w:val="001A6033"/>
    <w:rsid w:val="001B0A8B"/>
    <w:rsid w:val="001B2B53"/>
    <w:rsid w:val="001C12EB"/>
    <w:rsid w:val="001E080F"/>
    <w:rsid w:val="001E205B"/>
    <w:rsid w:val="001E3F67"/>
    <w:rsid w:val="001F1B4C"/>
    <w:rsid w:val="001F3B10"/>
    <w:rsid w:val="002127FA"/>
    <w:rsid w:val="00212C62"/>
    <w:rsid w:val="00225E7F"/>
    <w:rsid w:val="00232B19"/>
    <w:rsid w:val="00233EAB"/>
    <w:rsid w:val="0023544F"/>
    <w:rsid w:val="0023674B"/>
    <w:rsid w:val="00254193"/>
    <w:rsid w:val="00260A2E"/>
    <w:rsid w:val="00264109"/>
    <w:rsid w:val="00266322"/>
    <w:rsid w:val="002703BC"/>
    <w:rsid w:val="002738BC"/>
    <w:rsid w:val="00275613"/>
    <w:rsid w:val="00277E7D"/>
    <w:rsid w:val="00285C31"/>
    <w:rsid w:val="00293F89"/>
    <w:rsid w:val="002A6000"/>
    <w:rsid w:val="002D2D1E"/>
    <w:rsid w:val="002D6380"/>
    <w:rsid w:val="002D6E59"/>
    <w:rsid w:val="002E3E73"/>
    <w:rsid w:val="002F1187"/>
    <w:rsid w:val="002F4770"/>
    <w:rsid w:val="002F6C9A"/>
    <w:rsid w:val="00324BAB"/>
    <w:rsid w:val="0034071F"/>
    <w:rsid w:val="0034346E"/>
    <w:rsid w:val="00345268"/>
    <w:rsid w:val="00351C95"/>
    <w:rsid w:val="00356132"/>
    <w:rsid w:val="00361FFE"/>
    <w:rsid w:val="003679DF"/>
    <w:rsid w:val="00370893"/>
    <w:rsid w:val="00372D80"/>
    <w:rsid w:val="003777A4"/>
    <w:rsid w:val="00396A64"/>
    <w:rsid w:val="003A04EB"/>
    <w:rsid w:val="003A3867"/>
    <w:rsid w:val="003A71E8"/>
    <w:rsid w:val="003B2799"/>
    <w:rsid w:val="003C2C3C"/>
    <w:rsid w:val="003C431A"/>
    <w:rsid w:val="003D0682"/>
    <w:rsid w:val="003D537B"/>
    <w:rsid w:val="003E75C0"/>
    <w:rsid w:val="003F53FA"/>
    <w:rsid w:val="003F6759"/>
    <w:rsid w:val="004013AE"/>
    <w:rsid w:val="004019F7"/>
    <w:rsid w:val="004026F0"/>
    <w:rsid w:val="00410560"/>
    <w:rsid w:val="00411A7E"/>
    <w:rsid w:val="004176AE"/>
    <w:rsid w:val="00420CAB"/>
    <w:rsid w:val="004221ED"/>
    <w:rsid w:val="00443824"/>
    <w:rsid w:val="00447EAC"/>
    <w:rsid w:val="004561D4"/>
    <w:rsid w:val="004633E6"/>
    <w:rsid w:val="00464D4B"/>
    <w:rsid w:val="00464ED1"/>
    <w:rsid w:val="00474DD2"/>
    <w:rsid w:val="004827B4"/>
    <w:rsid w:val="004A3ADD"/>
    <w:rsid w:val="004A4E4A"/>
    <w:rsid w:val="004B178D"/>
    <w:rsid w:val="004C196B"/>
    <w:rsid w:val="004C1BC1"/>
    <w:rsid w:val="004D7199"/>
    <w:rsid w:val="004E4342"/>
    <w:rsid w:val="00501815"/>
    <w:rsid w:val="00507452"/>
    <w:rsid w:val="00513158"/>
    <w:rsid w:val="00524684"/>
    <w:rsid w:val="0053505E"/>
    <w:rsid w:val="00543CF2"/>
    <w:rsid w:val="00550226"/>
    <w:rsid w:val="00552FB9"/>
    <w:rsid w:val="00567612"/>
    <w:rsid w:val="00581E01"/>
    <w:rsid w:val="005837ED"/>
    <w:rsid w:val="00584BF9"/>
    <w:rsid w:val="00593250"/>
    <w:rsid w:val="00594856"/>
    <w:rsid w:val="005A05FE"/>
    <w:rsid w:val="005A2DB0"/>
    <w:rsid w:val="005B0D80"/>
    <w:rsid w:val="005B1B9E"/>
    <w:rsid w:val="005C2B4D"/>
    <w:rsid w:val="005C5185"/>
    <w:rsid w:val="005C53C6"/>
    <w:rsid w:val="005D5DA9"/>
    <w:rsid w:val="005E44F0"/>
    <w:rsid w:val="005F41FB"/>
    <w:rsid w:val="00606133"/>
    <w:rsid w:val="00607A2C"/>
    <w:rsid w:val="006277CF"/>
    <w:rsid w:val="006357C3"/>
    <w:rsid w:val="00640471"/>
    <w:rsid w:val="006406FC"/>
    <w:rsid w:val="00641A33"/>
    <w:rsid w:val="0066591A"/>
    <w:rsid w:val="0067169E"/>
    <w:rsid w:val="00672847"/>
    <w:rsid w:val="00672928"/>
    <w:rsid w:val="00673D77"/>
    <w:rsid w:val="00677D37"/>
    <w:rsid w:val="00682AA1"/>
    <w:rsid w:val="006869C8"/>
    <w:rsid w:val="006978F8"/>
    <w:rsid w:val="006A4527"/>
    <w:rsid w:val="006B1717"/>
    <w:rsid w:val="006B48DD"/>
    <w:rsid w:val="006C280F"/>
    <w:rsid w:val="006F393B"/>
    <w:rsid w:val="00701479"/>
    <w:rsid w:val="00704750"/>
    <w:rsid w:val="00704AE0"/>
    <w:rsid w:val="00706A06"/>
    <w:rsid w:val="00711E3D"/>
    <w:rsid w:val="00712A5D"/>
    <w:rsid w:val="00713359"/>
    <w:rsid w:val="0073217A"/>
    <w:rsid w:val="00736001"/>
    <w:rsid w:val="007422A7"/>
    <w:rsid w:val="007570CE"/>
    <w:rsid w:val="00763406"/>
    <w:rsid w:val="00773136"/>
    <w:rsid w:val="007978BF"/>
    <w:rsid w:val="00797CD5"/>
    <w:rsid w:val="007A24D9"/>
    <w:rsid w:val="007A3EAF"/>
    <w:rsid w:val="007A639F"/>
    <w:rsid w:val="007A6EC0"/>
    <w:rsid w:val="007B1205"/>
    <w:rsid w:val="007B1482"/>
    <w:rsid w:val="007C2CFB"/>
    <w:rsid w:val="007D4498"/>
    <w:rsid w:val="007E5281"/>
    <w:rsid w:val="007F0482"/>
    <w:rsid w:val="007F7627"/>
    <w:rsid w:val="00807354"/>
    <w:rsid w:val="008224E1"/>
    <w:rsid w:val="00826AB3"/>
    <w:rsid w:val="00826BC8"/>
    <w:rsid w:val="00827AD5"/>
    <w:rsid w:val="008426EB"/>
    <w:rsid w:val="0084388D"/>
    <w:rsid w:val="00853DE7"/>
    <w:rsid w:val="008619B2"/>
    <w:rsid w:val="00864C97"/>
    <w:rsid w:val="00875048"/>
    <w:rsid w:val="008765AE"/>
    <w:rsid w:val="0087773F"/>
    <w:rsid w:val="00881133"/>
    <w:rsid w:val="008910F2"/>
    <w:rsid w:val="008A1700"/>
    <w:rsid w:val="008A410F"/>
    <w:rsid w:val="008A550F"/>
    <w:rsid w:val="008B243B"/>
    <w:rsid w:val="008B2D6C"/>
    <w:rsid w:val="008B4FE1"/>
    <w:rsid w:val="008C69AF"/>
    <w:rsid w:val="008D10F8"/>
    <w:rsid w:val="008D5504"/>
    <w:rsid w:val="008E0523"/>
    <w:rsid w:val="008E0E95"/>
    <w:rsid w:val="008E6485"/>
    <w:rsid w:val="008F1391"/>
    <w:rsid w:val="008F22F8"/>
    <w:rsid w:val="00900C0C"/>
    <w:rsid w:val="0090541A"/>
    <w:rsid w:val="00906D29"/>
    <w:rsid w:val="0091127D"/>
    <w:rsid w:val="00916721"/>
    <w:rsid w:val="00927813"/>
    <w:rsid w:val="009279B5"/>
    <w:rsid w:val="009414F1"/>
    <w:rsid w:val="0096543D"/>
    <w:rsid w:val="00972002"/>
    <w:rsid w:val="0097494A"/>
    <w:rsid w:val="00995914"/>
    <w:rsid w:val="00996DBE"/>
    <w:rsid w:val="00997CDA"/>
    <w:rsid w:val="009A0D5A"/>
    <w:rsid w:val="009A7F97"/>
    <w:rsid w:val="009D17A2"/>
    <w:rsid w:val="009D30A9"/>
    <w:rsid w:val="009E15CE"/>
    <w:rsid w:val="009F25D1"/>
    <w:rsid w:val="009F3AAF"/>
    <w:rsid w:val="00A00BD8"/>
    <w:rsid w:val="00A058F0"/>
    <w:rsid w:val="00A12BDE"/>
    <w:rsid w:val="00A14B98"/>
    <w:rsid w:val="00A22D91"/>
    <w:rsid w:val="00A35A65"/>
    <w:rsid w:val="00A4049A"/>
    <w:rsid w:val="00A435FB"/>
    <w:rsid w:val="00A505FD"/>
    <w:rsid w:val="00A60A77"/>
    <w:rsid w:val="00A72302"/>
    <w:rsid w:val="00A95A72"/>
    <w:rsid w:val="00A963CA"/>
    <w:rsid w:val="00AA041D"/>
    <w:rsid w:val="00AC6417"/>
    <w:rsid w:val="00AC7BE2"/>
    <w:rsid w:val="00AE75FC"/>
    <w:rsid w:val="00AF7E6E"/>
    <w:rsid w:val="00B03010"/>
    <w:rsid w:val="00B133AD"/>
    <w:rsid w:val="00B25670"/>
    <w:rsid w:val="00B372BF"/>
    <w:rsid w:val="00B41A66"/>
    <w:rsid w:val="00B52767"/>
    <w:rsid w:val="00B5495C"/>
    <w:rsid w:val="00B56B33"/>
    <w:rsid w:val="00B77C7B"/>
    <w:rsid w:val="00B9101D"/>
    <w:rsid w:val="00B91D16"/>
    <w:rsid w:val="00B93FEB"/>
    <w:rsid w:val="00B95763"/>
    <w:rsid w:val="00BA32BF"/>
    <w:rsid w:val="00BA547D"/>
    <w:rsid w:val="00BA64AD"/>
    <w:rsid w:val="00BB19BA"/>
    <w:rsid w:val="00BB31C4"/>
    <w:rsid w:val="00BC0AF7"/>
    <w:rsid w:val="00BE2E2D"/>
    <w:rsid w:val="00BE4A5C"/>
    <w:rsid w:val="00BE6229"/>
    <w:rsid w:val="00BE68F2"/>
    <w:rsid w:val="00C00144"/>
    <w:rsid w:val="00C03E2F"/>
    <w:rsid w:val="00C11E7D"/>
    <w:rsid w:val="00C1242A"/>
    <w:rsid w:val="00C20AE8"/>
    <w:rsid w:val="00C43F98"/>
    <w:rsid w:val="00C507CD"/>
    <w:rsid w:val="00C57643"/>
    <w:rsid w:val="00C8130B"/>
    <w:rsid w:val="00C9010A"/>
    <w:rsid w:val="00CB2E7C"/>
    <w:rsid w:val="00CC39CD"/>
    <w:rsid w:val="00CD087E"/>
    <w:rsid w:val="00CD75C8"/>
    <w:rsid w:val="00CE0F01"/>
    <w:rsid w:val="00CE4374"/>
    <w:rsid w:val="00CF0143"/>
    <w:rsid w:val="00CF29F6"/>
    <w:rsid w:val="00CF6347"/>
    <w:rsid w:val="00D10FA2"/>
    <w:rsid w:val="00D12D27"/>
    <w:rsid w:val="00D13A15"/>
    <w:rsid w:val="00D150E8"/>
    <w:rsid w:val="00D17738"/>
    <w:rsid w:val="00D2103C"/>
    <w:rsid w:val="00D230EB"/>
    <w:rsid w:val="00D303DC"/>
    <w:rsid w:val="00D34520"/>
    <w:rsid w:val="00D40AAA"/>
    <w:rsid w:val="00D436E3"/>
    <w:rsid w:val="00D462C2"/>
    <w:rsid w:val="00D46B97"/>
    <w:rsid w:val="00D51AFF"/>
    <w:rsid w:val="00D53F3D"/>
    <w:rsid w:val="00D617C9"/>
    <w:rsid w:val="00D70A47"/>
    <w:rsid w:val="00D72FFA"/>
    <w:rsid w:val="00D96D80"/>
    <w:rsid w:val="00DA3FA2"/>
    <w:rsid w:val="00DB1426"/>
    <w:rsid w:val="00DB24F9"/>
    <w:rsid w:val="00DB49F8"/>
    <w:rsid w:val="00DB635A"/>
    <w:rsid w:val="00DC305A"/>
    <w:rsid w:val="00DD2820"/>
    <w:rsid w:val="00DD370B"/>
    <w:rsid w:val="00DD38BF"/>
    <w:rsid w:val="00DE0483"/>
    <w:rsid w:val="00DF1D31"/>
    <w:rsid w:val="00DF23D7"/>
    <w:rsid w:val="00DF55B3"/>
    <w:rsid w:val="00DF666E"/>
    <w:rsid w:val="00DF7261"/>
    <w:rsid w:val="00E056CC"/>
    <w:rsid w:val="00E13420"/>
    <w:rsid w:val="00E1496D"/>
    <w:rsid w:val="00E1586F"/>
    <w:rsid w:val="00E33790"/>
    <w:rsid w:val="00E41C4B"/>
    <w:rsid w:val="00E568E3"/>
    <w:rsid w:val="00E60620"/>
    <w:rsid w:val="00E70908"/>
    <w:rsid w:val="00E81602"/>
    <w:rsid w:val="00E92018"/>
    <w:rsid w:val="00EC3F87"/>
    <w:rsid w:val="00ED0436"/>
    <w:rsid w:val="00EE4D53"/>
    <w:rsid w:val="00EE7F8A"/>
    <w:rsid w:val="00F0206F"/>
    <w:rsid w:val="00F10D28"/>
    <w:rsid w:val="00F13E25"/>
    <w:rsid w:val="00F44216"/>
    <w:rsid w:val="00F605A6"/>
    <w:rsid w:val="00F633F0"/>
    <w:rsid w:val="00F76498"/>
    <w:rsid w:val="00F76F1D"/>
    <w:rsid w:val="00F81C8F"/>
    <w:rsid w:val="00F82384"/>
    <w:rsid w:val="00F83C02"/>
    <w:rsid w:val="00F9460E"/>
    <w:rsid w:val="00FA0650"/>
    <w:rsid w:val="00FA5C74"/>
    <w:rsid w:val="00FB1A51"/>
    <w:rsid w:val="00FB2EDC"/>
    <w:rsid w:val="00FB68E4"/>
    <w:rsid w:val="00FB6DC7"/>
    <w:rsid w:val="00FB7241"/>
    <w:rsid w:val="00FC1D69"/>
    <w:rsid w:val="00FF1F4B"/>
    <w:rsid w:val="00FF69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5DEE7"/>
  <w15:chartTrackingRefBased/>
  <w15:docId w15:val="{6DFEE10E-7B55-4286-A3A0-2C42E25D1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9B5"/>
    <w:rPr>
      <w:lang w:val="en-US"/>
    </w:rPr>
  </w:style>
  <w:style w:type="paragraph" w:styleId="Ttulo1">
    <w:name w:val="heading 1"/>
    <w:basedOn w:val="Normal"/>
    <w:next w:val="Normal"/>
    <w:link w:val="Ttulo1Car"/>
    <w:uiPriority w:val="9"/>
    <w:qFormat/>
    <w:rsid w:val="009F3A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9"/>
    <w:unhideWhenUsed/>
    <w:qFormat/>
    <w:rsid w:val="00641A33"/>
    <w:pPr>
      <w:keepNext/>
      <w:keepLines/>
      <w:spacing w:before="40" w:after="0"/>
      <w:outlineLvl w:val="1"/>
    </w:pPr>
    <w:rPr>
      <w:rFonts w:asciiTheme="majorHAnsi" w:eastAsiaTheme="majorEastAsia" w:hAnsiTheme="majorHAnsi" w:cstheme="majorBidi"/>
      <w:color w:val="2F5496" w:themeColor="accent1" w:themeShade="BF"/>
      <w:sz w:val="26"/>
      <w:szCs w:val="26"/>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279B5"/>
    <w:rPr>
      <w:color w:val="0000FF"/>
      <w:u w:val="single"/>
    </w:rPr>
  </w:style>
  <w:style w:type="character" w:customStyle="1" w:styleId="Ttulo2Car">
    <w:name w:val="Título 2 Car"/>
    <w:basedOn w:val="Fuentedeprrafopredeter"/>
    <w:link w:val="Ttulo2"/>
    <w:uiPriority w:val="99"/>
    <w:rsid w:val="00641A33"/>
    <w:rPr>
      <w:rFonts w:asciiTheme="majorHAnsi" w:eastAsiaTheme="majorEastAsia" w:hAnsiTheme="majorHAnsi" w:cstheme="majorBidi"/>
      <w:color w:val="2F5496" w:themeColor="accent1" w:themeShade="BF"/>
      <w:sz w:val="26"/>
      <w:szCs w:val="26"/>
    </w:rPr>
  </w:style>
  <w:style w:type="paragraph" w:styleId="Textoindependiente">
    <w:name w:val="Body Text"/>
    <w:basedOn w:val="Normal"/>
    <w:link w:val="TextoindependienteCar"/>
    <w:uiPriority w:val="99"/>
    <w:unhideWhenUsed/>
    <w:rsid w:val="00641A33"/>
    <w:pPr>
      <w:spacing w:after="120"/>
    </w:pPr>
    <w:rPr>
      <w:lang w:val="es-CO"/>
    </w:rPr>
  </w:style>
  <w:style w:type="character" w:customStyle="1" w:styleId="TextoindependienteCar">
    <w:name w:val="Texto independiente Car"/>
    <w:basedOn w:val="Fuentedeprrafopredeter"/>
    <w:link w:val="Textoindependiente"/>
    <w:uiPriority w:val="99"/>
    <w:rsid w:val="00641A33"/>
  </w:style>
  <w:style w:type="paragraph" w:styleId="Prrafodelista">
    <w:name w:val="List Paragraph"/>
    <w:basedOn w:val="Normal"/>
    <w:uiPriority w:val="34"/>
    <w:qFormat/>
    <w:rsid w:val="000A78B5"/>
    <w:pPr>
      <w:ind w:left="720"/>
      <w:contextualSpacing/>
    </w:pPr>
  </w:style>
  <w:style w:type="character" w:customStyle="1" w:styleId="c-article-referencescounter">
    <w:name w:val="c-article-references__counter"/>
    <w:basedOn w:val="Fuentedeprrafopredeter"/>
    <w:rsid w:val="00CD75C8"/>
  </w:style>
  <w:style w:type="paragraph" w:customStyle="1" w:styleId="c-article-referencestext">
    <w:name w:val="c-article-references__text"/>
    <w:basedOn w:val="Normal"/>
    <w:rsid w:val="00CD75C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NormalWeb">
    <w:name w:val="Normal (Web)"/>
    <w:basedOn w:val="Normal"/>
    <w:uiPriority w:val="99"/>
    <w:unhideWhenUsed/>
    <w:rsid w:val="00275613"/>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label">
    <w:name w:val="label"/>
    <w:basedOn w:val="Fuentedeprrafopredeter"/>
    <w:rsid w:val="00DB49F8"/>
  </w:style>
  <w:style w:type="character" w:customStyle="1" w:styleId="ref">
    <w:name w:val="ref"/>
    <w:basedOn w:val="Fuentedeprrafopredeter"/>
    <w:rsid w:val="00B25670"/>
  </w:style>
  <w:style w:type="character" w:customStyle="1" w:styleId="dropdown">
    <w:name w:val="dropdown"/>
    <w:basedOn w:val="Fuentedeprrafopredeter"/>
    <w:rsid w:val="009F3AAF"/>
  </w:style>
  <w:style w:type="character" w:customStyle="1" w:styleId="Ttulo1Car">
    <w:name w:val="Título 1 Car"/>
    <w:basedOn w:val="Fuentedeprrafopredeter"/>
    <w:link w:val="Ttulo1"/>
    <w:uiPriority w:val="9"/>
    <w:rsid w:val="009F3AAF"/>
    <w:rPr>
      <w:rFonts w:asciiTheme="majorHAnsi" w:eastAsiaTheme="majorEastAsia" w:hAnsiTheme="majorHAnsi" w:cstheme="majorBidi"/>
      <w:color w:val="2F5496" w:themeColor="accent1" w:themeShade="BF"/>
      <w:sz w:val="32"/>
      <w:szCs w:val="32"/>
      <w:lang w:val="en-US"/>
    </w:rPr>
  </w:style>
  <w:style w:type="character" w:customStyle="1" w:styleId="editionmeta">
    <w:name w:val="_editionmeta"/>
    <w:basedOn w:val="Fuentedeprrafopredeter"/>
    <w:rsid w:val="009F3AAF"/>
  </w:style>
  <w:style w:type="character" w:customStyle="1" w:styleId="separator">
    <w:name w:val="_separator"/>
    <w:basedOn w:val="Fuentedeprrafopredeter"/>
    <w:rsid w:val="009F3AAF"/>
  </w:style>
  <w:style w:type="character" w:customStyle="1" w:styleId="group-doi">
    <w:name w:val="group-doi"/>
    <w:basedOn w:val="Fuentedeprrafopredeter"/>
    <w:rsid w:val="009F3AAF"/>
  </w:style>
  <w:style w:type="character" w:customStyle="1" w:styleId="truncate">
    <w:name w:val="truncate"/>
    <w:basedOn w:val="Fuentedeprrafopredeter"/>
    <w:rsid w:val="009F3AAF"/>
  </w:style>
  <w:style w:type="character" w:customStyle="1" w:styleId="A6">
    <w:name w:val="A6"/>
    <w:uiPriority w:val="99"/>
    <w:rsid w:val="00182DA1"/>
    <w:rPr>
      <w:rFonts w:cs="RotisSemiSans Light"/>
      <w:color w:val="000000"/>
      <w:sz w:val="19"/>
      <w:szCs w:val="19"/>
    </w:rPr>
  </w:style>
  <w:style w:type="paragraph" w:customStyle="1" w:styleId="Pa23">
    <w:name w:val="Pa23"/>
    <w:basedOn w:val="Normal"/>
    <w:next w:val="Normal"/>
    <w:uiPriority w:val="99"/>
    <w:rsid w:val="00182DA1"/>
    <w:pPr>
      <w:autoSpaceDE w:val="0"/>
      <w:autoSpaceDN w:val="0"/>
      <w:adjustRightInd w:val="0"/>
      <w:spacing w:after="0" w:line="216" w:lineRule="atLeast"/>
    </w:pPr>
    <w:rPr>
      <w:rFonts w:ascii="RotisSemiSans Light" w:hAnsi="RotisSemiSans Light"/>
      <w:sz w:val="24"/>
      <w:szCs w:val="24"/>
      <w:lang w:val="es-CO"/>
    </w:rPr>
  </w:style>
  <w:style w:type="character" w:customStyle="1" w:styleId="A14">
    <w:name w:val="A14"/>
    <w:uiPriority w:val="99"/>
    <w:rsid w:val="00182DA1"/>
    <w:rPr>
      <w:rFonts w:cs="RotisSemiSans Light"/>
      <w:color w:val="000000"/>
      <w:sz w:val="17"/>
      <w:szCs w:val="17"/>
    </w:rPr>
  </w:style>
  <w:style w:type="character" w:styleId="Mencinsinresolver">
    <w:name w:val="Unresolved Mention"/>
    <w:basedOn w:val="Fuentedeprrafopredeter"/>
    <w:uiPriority w:val="99"/>
    <w:semiHidden/>
    <w:unhideWhenUsed/>
    <w:rsid w:val="003C2C3C"/>
    <w:rPr>
      <w:color w:val="605E5C"/>
      <w:shd w:val="clear" w:color="auto" w:fill="E1DFDD"/>
    </w:rPr>
  </w:style>
  <w:style w:type="character" w:customStyle="1" w:styleId="citation-doi">
    <w:name w:val="citation-doi"/>
    <w:basedOn w:val="Fuentedeprrafopredeter"/>
    <w:rsid w:val="007E5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495">
      <w:bodyDiv w:val="1"/>
      <w:marLeft w:val="0"/>
      <w:marRight w:val="0"/>
      <w:marTop w:val="0"/>
      <w:marBottom w:val="0"/>
      <w:divBdr>
        <w:top w:val="none" w:sz="0" w:space="0" w:color="auto"/>
        <w:left w:val="none" w:sz="0" w:space="0" w:color="auto"/>
        <w:bottom w:val="none" w:sz="0" w:space="0" w:color="auto"/>
        <w:right w:val="none" w:sz="0" w:space="0" w:color="auto"/>
      </w:divBdr>
    </w:div>
    <w:div w:id="72043944">
      <w:bodyDiv w:val="1"/>
      <w:marLeft w:val="0"/>
      <w:marRight w:val="0"/>
      <w:marTop w:val="0"/>
      <w:marBottom w:val="0"/>
      <w:divBdr>
        <w:top w:val="none" w:sz="0" w:space="0" w:color="auto"/>
        <w:left w:val="none" w:sz="0" w:space="0" w:color="auto"/>
        <w:bottom w:val="none" w:sz="0" w:space="0" w:color="auto"/>
        <w:right w:val="none" w:sz="0" w:space="0" w:color="auto"/>
      </w:divBdr>
    </w:div>
    <w:div w:id="79956336">
      <w:bodyDiv w:val="1"/>
      <w:marLeft w:val="0"/>
      <w:marRight w:val="0"/>
      <w:marTop w:val="0"/>
      <w:marBottom w:val="0"/>
      <w:divBdr>
        <w:top w:val="none" w:sz="0" w:space="0" w:color="auto"/>
        <w:left w:val="none" w:sz="0" w:space="0" w:color="auto"/>
        <w:bottom w:val="none" w:sz="0" w:space="0" w:color="auto"/>
        <w:right w:val="none" w:sz="0" w:space="0" w:color="auto"/>
      </w:divBdr>
    </w:div>
    <w:div w:id="94332430">
      <w:bodyDiv w:val="1"/>
      <w:marLeft w:val="0"/>
      <w:marRight w:val="0"/>
      <w:marTop w:val="0"/>
      <w:marBottom w:val="0"/>
      <w:divBdr>
        <w:top w:val="none" w:sz="0" w:space="0" w:color="auto"/>
        <w:left w:val="none" w:sz="0" w:space="0" w:color="auto"/>
        <w:bottom w:val="none" w:sz="0" w:space="0" w:color="auto"/>
        <w:right w:val="none" w:sz="0" w:space="0" w:color="auto"/>
      </w:divBdr>
    </w:div>
    <w:div w:id="290985588">
      <w:bodyDiv w:val="1"/>
      <w:marLeft w:val="0"/>
      <w:marRight w:val="0"/>
      <w:marTop w:val="0"/>
      <w:marBottom w:val="0"/>
      <w:divBdr>
        <w:top w:val="none" w:sz="0" w:space="0" w:color="auto"/>
        <w:left w:val="none" w:sz="0" w:space="0" w:color="auto"/>
        <w:bottom w:val="none" w:sz="0" w:space="0" w:color="auto"/>
        <w:right w:val="none" w:sz="0" w:space="0" w:color="auto"/>
      </w:divBdr>
    </w:div>
    <w:div w:id="300038176">
      <w:bodyDiv w:val="1"/>
      <w:marLeft w:val="0"/>
      <w:marRight w:val="0"/>
      <w:marTop w:val="0"/>
      <w:marBottom w:val="0"/>
      <w:divBdr>
        <w:top w:val="none" w:sz="0" w:space="0" w:color="auto"/>
        <w:left w:val="none" w:sz="0" w:space="0" w:color="auto"/>
        <w:bottom w:val="none" w:sz="0" w:space="0" w:color="auto"/>
        <w:right w:val="none" w:sz="0" w:space="0" w:color="auto"/>
      </w:divBdr>
    </w:div>
    <w:div w:id="412319263">
      <w:bodyDiv w:val="1"/>
      <w:marLeft w:val="0"/>
      <w:marRight w:val="0"/>
      <w:marTop w:val="0"/>
      <w:marBottom w:val="0"/>
      <w:divBdr>
        <w:top w:val="none" w:sz="0" w:space="0" w:color="auto"/>
        <w:left w:val="none" w:sz="0" w:space="0" w:color="auto"/>
        <w:bottom w:val="none" w:sz="0" w:space="0" w:color="auto"/>
        <w:right w:val="none" w:sz="0" w:space="0" w:color="auto"/>
      </w:divBdr>
    </w:div>
    <w:div w:id="430786887">
      <w:bodyDiv w:val="1"/>
      <w:marLeft w:val="0"/>
      <w:marRight w:val="0"/>
      <w:marTop w:val="0"/>
      <w:marBottom w:val="0"/>
      <w:divBdr>
        <w:top w:val="none" w:sz="0" w:space="0" w:color="auto"/>
        <w:left w:val="none" w:sz="0" w:space="0" w:color="auto"/>
        <w:bottom w:val="none" w:sz="0" w:space="0" w:color="auto"/>
        <w:right w:val="none" w:sz="0" w:space="0" w:color="auto"/>
      </w:divBdr>
    </w:div>
    <w:div w:id="455416951">
      <w:bodyDiv w:val="1"/>
      <w:marLeft w:val="0"/>
      <w:marRight w:val="0"/>
      <w:marTop w:val="0"/>
      <w:marBottom w:val="0"/>
      <w:divBdr>
        <w:top w:val="none" w:sz="0" w:space="0" w:color="auto"/>
        <w:left w:val="none" w:sz="0" w:space="0" w:color="auto"/>
        <w:bottom w:val="none" w:sz="0" w:space="0" w:color="auto"/>
        <w:right w:val="none" w:sz="0" w:space="0" w:color="auto"/>
      </w:divBdr>
    </w:div>
    <w:div w:id="617682078">
      <w:bodyDiv w:val="1"/>
      <w:marLeft w:val="0"/>
      <w:marRight w:val="0"/>
      <w:marTop w:val="0"/>
      <w:marBottom w:val="0"/>
      <w:divBdr>
        <w:top w:val="none" w:sz="0" w:space="0" w:color="auto"/>
        <w:left w:val="none" w:sz="0" w:space="0" w:color="auto"/>
        <w:bottom w:val="none" w:sz="0" w:space="0" w:color="auto"/>
        <w:right w:val="none" w:sz="0" w:space="0" w:color="auto"/>
      </w:divBdr>
    </w:div>
    <w:div w:id="736367639">
      <w:bodyDiv w:val="1"/>
      <w:marLeft w:val="0"/>
      <w:marRight w:val="0"/>
      <w:marTop w:val="0"/>
      <w:marBottom w:val="0"/>
      <w:divBdr>
        <w:top w:val="none" w:sz="0" w:space="0" w:color="auto"/>
        <w:left w:val="none" w:sz="0" w:space="0" w:color="auto"/>
        <w:bottom w:val="none" w:sz="0" w:space="0" w:color="auto"/>
        <w:right w:val="none" w:sz="0" w:space="0" w:color="auto"/>
      </w:divBdr>
    </w:div>
    <w:div w:id="740104373">
      <w:bodyDiv w:val="1"/>
      <w:marLeft w:val="0"/>
      <w:marRight w:val="0"/>
      <w:marTop w:val="0"/>
      <w:marBottom w:val="0"/>
      <w:divBdr>
        <w:top w:val="none" w:sz="0" w:space="0" w:color="auto"/>
        <w:left w:val="none" w:sz="0" w:space="0" w:color="auto"/>
        <w:bottom w:val="none" w:sz="0" w:space="0" w:color="auto"/>
        <w:right w:val="none" w:sz="0" w:space="0" w:color="auto"/>
      </w:divBdr>
      <w:divsChild>
        <w:div w:id="1556356896">
          <w:marLeft w:val="0"/>
          <w:marRight w:val="0"/>
          <w:marTop w:val="0"/>
          <w:marBottom w:val="0"/>
          <w:divBdr>
            <w:top w:val="none" w:sz="0" w:space="0" w:color="auto"/>
            <w:left w:val="none" w:sz="0" w:space="0" w:color="auto"/>
            <w:bottom w:val="none" w:sz="0" w:space="0" w:color="auto"/>
            <w:right w:val="none" w:sz="0" w:space="0" w:color="auto"/>
          </w:divBdr>
          <w:divsChild>
            <w:div w:id="1340354963">
              <w:marLeft w:val="0"/>
              <w:marRight w:val="0"/>
              <w:marTop w:val="0"/>
              <w:marBottom w:val="0"/>
              <w:divBdr>
                <w:top w:val="none" w:sz="0" w:space="0" w:color="auto"/>
                <w:left w:val="none" w:sz="0" w:space="0" w:color="auto"/>
                <w:bottom w:val="none" w:sz="0" w:space="0" w:color="auto"/>
                <w:right w:val="none" w:sz="0" w:space="0" w:color="auto"/>
              </w:divBdr>
              <w:divsChild>
                <w:div w:id="100513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1031">
          <w:marLeft w:val="0"/>
          <w:marRight w:val="0"/>
          <w:marTop w:val="0"/>
          <w:marBottom w:val="0"/>
          <w:divBdr>
            <w:top w:val="none" w:sz="0" w:space="0" w:color="auto"/>
            <w:left w:val="none" w:sz="0" w:space="0" w:color="auto"/>
            <w:bottom w:val="none" w:sz="0" w:space="0" w:color="auto"/>
            <w:right w:val="none" w:sz="0" w:space="0" w:color="auto"/>
          </w:divBdr>
          <w:divsChild>
            <w:div w:id="1708943149">
              <w:marLeft w:val="0"/>
              <w:marRight w:val="0"/>
              <w:marTop w:val="0"/>
              <w:marBottom w:val="0"/>
              <w:divBdr>
                <w:top w:val="none" w:sz="0" w:space="0" w:color="auto"/>
                <w:left w:val="none" w:sz="0" w:space="0" w:color="auto"/>
                <w:bottom w:val="none" w:sz="0" w:space="0" w:color="auto"/>
                <w:right w:val="none" w:sz="0" w:space="0" w:color="auto"/>
              </w:divBdr>
              <w:divsChild>
                <w:div w:id="35542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09706">
          <w:marLeft w:val="0"/>
          <w:marRight w:val="0"/>
          <w:marTop w:val="0"/>
          <w:marBottom w:val="0"/>
          <w:divBdr>
            <w:top w:val="none" w:sz="0" w:space="0" w:color="auto"/>
            <w:left w:val="none" w:sz="0" w:space="0" w:color="auto"/>
            <w:bottom w:val="none" w:sz="0" w:space="0" w:color="auto"/>
            <w:right w:val="none" w:sz="0" w:space="0" w:color="auto"/>
          </w:divBdr>
        </w:div>
        <w:div w:id="861817373">
          <w:marLeft w:val="0"/>
          <w:marRight w:val="0"/>
          <w:marTop w:val="0"/>
          <w:marBottom w:val="0"/>
          <w:divBdr>
            <w:top w:val="none" w:sz="0" w:space="0" w:color="auto"/>
            <w:left w:val="none" w:sz="0" w:space="0" w:color="auto"/>
            <w:bottom w:val="none" w:sz="0" w:space="0" w:color="auto"/>
            <w:right w:val="none" w:sz="0" w:space="0" w:color="auto"/>
          </w:divBdr>
        </w:div>
        <w:div w:id="1577012561">
          <w:marLeft w:val="0"/>
          <w:marRight w:val="0"/>
          <w:marTop w:val="0"/>
          <w:marBottom w:val="0"/>
          <w:divBdr>
            <w:top w:val="none" w:sz="0" w:space="0" w:color="auto"/>
            <w:left w:val="none" w:sz="0" w:space="0" w:color="auto"/>
            <w:bottom w:val="none" w:sz="0" w:space="0" w:color="auto"/>
            <w:right w:val="none" w:sz="0" w:space="0" w:color="auto"/>
          </w:divBdr>
        </w:div>
        <w:div w:id="1183082117">
          <w:marLeft w:val="0"/>
          <w:marRight w:val="0"/>
          <w:marTop w:val="0"/>
          <w:marBottom w:val="0"/>
          <w:divBdr>
            <w:top w:val="none" w:sz="0" w:space="0" w:color="auto"/>
            <w:left w:val="none" w:sz="0" w:space="0" w:color="auto"/>
            <w:bottom w:val="none" w:sz="0" w:space="0" w:color="auto"/>
            <w:right w:val="none" w:sz="0" w:space="0" w:color="auto"/>
          </w:divBdr>
        </w:div>
        <w:div w:id="673804591">
          <w:marLeft w:val="0"/>
          <w:marRight w:val="0"/>
          <w:marTop w:val="0"/>
          <w:marBottom w:val="0"/>
          <w:divBdr>
            <w:top w:val="none" w:sz="0" w:space="0" w:color="auto"/>
            <w:left w:val="none" w:sz="0" w:space="0" w:color="auto"/>
            <w:bottom w:val="none" w:sz="0" w:space="0" w:color="auto"/>
            <w:right w:val="none" w:sz="0" w:space="0" w:color="auto"/>
          </w:divBdr>
        </w:div>
        <w:div w:id="1069159873">
          <w:marLeft w:val="0"/>
          <w:marRight w:val="0"/>
          <w:marTop w:val="0"/>
          <w:marBottom w:val="0"/>
          <w:divBdr>
            <w:top w:val="none" w:sz="0" w:space="0" w:color="auto"/>
            <w:left w:val="none" w:sz="0" w:space="0" w:color="auto"/>
            <w:bottom w:val="none" w:sz="0" w:space="0" w:color="auto"/>
            <w:right w:val="none" w:sz="0" w:space="0" w:color="auto"/>
          </w:divBdr>
        </w:div>
        <w:div w:id="288706573">
          <w:marLeft w:val="0"/>
          <w:marRight w:val="0"/>
          <w:marTop w:val="0"/>
          <w:marBottom w:val="0"/>
          <w:divBdr>
            <w:top w:val="none" w:sz="0" w:space="0" w:color="auto"/>
            <w:left w:val="none" w:sz="0" w:space="0" w:color="auto"/>
            <w:bottom w:val="none" w:sz="0" w:space="0" w:color="auto"/>
            <w:right w:val="none" w:sz="0" w:space="0" w:color="auto"/>
          </w:divBdr>
        </w:div>
        <w:div w:id="749811970">
          <w:marLeft w:val="0"/>
          <w:marRight w:val="0"/>
          <w:marTop w:val="0"/>
          <w:marBottom w:val="0"/>
          <w:divBdr>
            <w:top w:val="none" w:sz="0" w:space="0" w:color="auto"/>
            <w:left w:val="none" w:sz="0" w:space="0" w:color="auto"/>
            <w:bottom w:val="none" w:sz="0" w:space="0" w:color="auto"/>
            <w:right w:val="none" w:sz="0" w:space="0" w:color="auto"/>
          </w:divBdr>
        </w:div>
        <w:div w:id="268850840">
          <w:marLeft w:val="0"/>
          <w:marRight w:val="0"/>
          <w:marTop w:val="0"/>
          <w:marBottom w:val="0"/>
          <w:divBdr>
            <w:top w:val="none" w:sz="0" w:space="0" w:color="auto"/>
            <w:left w:val="none" w:sz="0" w:space="0" w:color="auto"/>
            <w:bottom w:val="none" w:sz="0" w:space="0" w:color="auto"/>
            <w:right w:val="none" w:sz="0" w:space="0" w:color="auto"/>
          </w:divBdr>
        </w:div>
        <w:div w:id="780300282">
          <w:marLeft w:val="0"/>
          <w:marRight w:val="0"/>
          <w:marTop w:val="0"/>
          <w:marBottom w:val="0"/>
          <w:divBdr>
            <w:top w:val="none" w:sz="0" w:space="0" w:color="auto"/>
            <w:left w:val="none" w:sz="0" w:space="0" w:color="auto"/>
            <w:bottom w:val="none" w:sz="0" w:space="0" w:color="auto"/>
            <w:right w:val="none" w:sz="0" w:space="0" w:color="auto"/>
          </w:divBdr>
        </w:div>
        <w:div w:id="1775201371">
          <w:marLeft w:val="0"/>
          <w:marRight w:val="0"/>
          <w:marTop w:val="0"/>
          <w:marBottom w:val="0"/>
          <w:divBdr>
            <w:top w:val="none" w:sz="0" w:space="0" w:color="auto"/>
            <w:left w:val="none" w:sz="0" w:space="0" w:color="auto"/>
            <w:bottom w:val="none" w:sz="0" w:space="0" w:color="auto"/>
            <w:right w:val="none" w:sz="0" w:space="0" w:color="auto"/>
          </w:divBdr>
        </w:div>
        <w:div w:id="107773153">
          <w:marLeft w:val="0"/>
          <w:marRight w:val="0"/>
          <w:marTop w:val="0"/>
          <w:marBottom w:val="0"/>
          <w:divBdr>
            <w:top w:val="none" w:sz="0" w:space="0" w:color="auto"/>
            <w:left w:val="none" w:sz="0" w:space="0" w:color="auto"/>
            <w:bottom w:val="none" w:sz="0" w:space="0" w:color="auto"/>
            <w:right w:val="none" w:sz="0" w:space="0" w:color="auto"/>
          </w:divBdr>
        </w:div>
        <w:div w:id="2037191048">
          <w:marLeft w:val="0"/>
          <w:marRight w:val="0"/>
          <w:marTop w:val="0"/>
          <w:marBottom w:val="0"/>
          <w:divBdr>
            <w:top w:val="none" w:sz="0" w:space="0" w:color="auto"/>
            <w:left w:val="none" w:sz="0" w:space="0" w:color="auto"/>
            <w:bottom w:val="none" w:sz="0" w:space="0" w:color="auto"/>
            <w:right w:val="none" w:sz="0" w:space="0" w:color="auto"/>
          </w:divBdr>
        </w:div>
        <w:div w:id="182087254">
          <w:marLeft w:val="0"/>
          <w:marRight w:val="0"/>
          <w:marTop w:val="0"/>
          <w:marBottom w:val="0"/>
          <w:divBdr>
            <w:top w:val="none" w:sz="0" w:space="0" w:color="auto"/>
            <w:left w:val="none" w:sz="0" w:space="0" w:color="auto"/>
            <w:bottom w:val="none" w:sz="0" w:space="0" w:color="auto"/>
            <w:right w:val="none" w:sz="0" w:space="0" w:color="auto"/>
          </w:divBdr>
        </w:div>
        <w:div w:id="1958835117">
          <w:marLeft w:val="0"/>
          <w:marRight w:val="0"/>
          <w:marTop w:val="0"/>
          <w:marBottom w:val="0"/>
          <w:divBdr>
            <w:top w:val="none" w:sz="0" w:space="0" w:color="auto"/>
            <w:left w:val="none" w:sz="0" w:space="0" w:color="auto"/>
            <w:bottom w:val="none" w:sz="0" w:space="0" w:color="auto"/>
            <w:right w:val="none" w:sz="0" w:space="0" w:color="auto"/>
          </w:divBdr>
        </w:div>
        <w:div w:id="1280794723">
          <w:marLeft w:val="0"/>
          <w:marRight w:val="0"/>
          <w:marTop w:val="0"/>
          <w:marBottom w:val="0"/>
          <w:divBdr>
            <w:top w:val="none" w:sz="0" w:space="0" w:color="auto"/>
            <w:left w:val="none" w:sz="0" w:space="0" w:color="auto"/>
            <w:bottom w:val="none" w:sz="0" w:space="0" w:color="auto"/>
            <w:right w:val="none" w:sz="0" w:space="0" w:color="auto"/>
          </w:divBdr>
        </w:div>
        <w:div w:id="1335034431">
          <w:marLeft w:val="0"/>
          <w:marRight w:val="0"/>
          <w:marTop w:val="0"/>
          <w:marBottom w:val="0"/>
          <w:divBdr>
            <w:top w:val="none" w:sz="0" w:space="0" w:color="auto"/>
            <w:left w:val="none" w:sz="0" w:space="0" w:color="auto"/>
            <w:bottom w:val="none" w:sz="0" w:space="0" w:color="auto"/>
            <w:right w:val="none" w:sz="0" w:space="0" w:color="auto"/>
          </w:divBdr>
        </w:div>
        <w:div w:id="1086346467">
          <w:marLeft w:val="0"/>
          <w:marRight w:val="0"/>
          <w:marTop w:val="0"/>
          <w:marBottom w:val="0"/>
          <w:divBdr>
            <w:top w:val="none" w:sz="0" w:space="0" w:color="auto"/>
            <w:left w:val="none" w:sz="0" w:space="0" w:color="auto"/>
            <w:bottom w:val="none" w:sz="0" w:space="0" w:color="auto"/>
            <w:right w:val="none" w:sz="0" w:space="0" w:color="auto"/>
          </w:divBdr>
        </w:div>
        <w:div w:id="928076298">
          <w:marLeft w:val="0"/>
          <w:marRight w:val="0"/>
          <w:marTop w:val="0"/>
          <w:marBottom w:val="0"/>
          <w:divBdr>
            <w:top w:val="none" w:sz="0" w:space="0" w:color="auto"/>
            <w:left w:val="none" w:sz="0" w:space="0" w:color="auto"/>
            <w:bottom w:val="none" w:sz="0" w:space="0" w:color="auto"/>
            <w:right w:val="none" w:sz="0" w:space="0" w:color="auto"/>
          </w:divBdr>
        </w:div>
        <w:div w:id="1648968644">
          <w:marLeft w:val="0"/>
          <w:marRight w:val="0"/>
          <w:marTop w:val="0"/>
          <w:marBottom w:val="0"/>
          <w:divBdr>
            <w:top w:val="none" w:sz="0" w:space="0" w:color="auto"/>
            <w:left w:val="none" w:sz="0" w:space="0" w:color="auto"/>
            <w:bottom w:val="none" w:sz="0" w:space="0" w:color="auto"/>
            <w:right w:val="none" w:sz="0" w:space="0" w:color="auto"/>
          </w:divBdr>
        </w:div>
        <w:div w:id="1534031368">
          <w:marLeft w:val="0"/>
          <w:marRight w:val="0"/>
          <w:marTop w:val="0"/>
          <w:marBottom w:val="0"/>
          <w:divBdr>
            <w:top w:val="none" w:sz="0" w:space="0" w:color="auto"/>
            <w:left w:val="none" w:sz="0" w:space="0" w:color="auto"/>
            <w:bottom w:val="none" w:sz="0" w:space="0" w:color="auto"/>
            <w:right w:val="none" w:sz="0" w:space="0" w:color="auto"/>
          </w:divBdr>
        </w:div>
        <w:div w:id="1248998183">
          <w:marLeft w:val="0"/>
          <w:marRight w:val="0"/>
          <w:marTop w:val="0"/>
          <w:marBottom w:val="0"/>
          <w:divBdr>
            <w:top w:val="none" w:sz="0" w:space="0" w:color="auto"/>
            <w:left w:val="none" w:sz="0" w:space="0" w:color="auto"/>
            <w:bottom w:val="none" w:sz="0" w:space="0" w:color="auto"/>
            <w:right w:val="none" w:sz="0" w:space="0" w:color="auto"/>
          </w:divBdr>
        </w:div>
        <w:div w:id="1728070496">
          <w:marLeft w:val="0"/>
          <w:marRight w:val="0"/>
          <w:marTop w:val="0"/>
          <w:marBottom w:val="0"/>
          <w:divBdr>
            <w:top w:val="none" w:sz="0" w:space="0" w:color="auto"/>
            <w:left w:val="none" w:sz="0" w:space="0" w:color="auto"/>
            <w:bottom w:val="none" w:sz="0" w:space="0" w:color="auto"/>
            <w:right w:val="none" w:sz="0" w:space="0" w:color="auto"/>
          </w:divBdr>
        </w:div>
        <w:div w:id="1183976195">
          <w:marLeft w:val="0"/>
          <w:marRight w:val="0"/>
          <w:marTop w:val="0"/>
          <w:marBottom w:val="0"/>
          <w:divBdr>
            <w:top w:val="none" w:sz="0" w:space="0" w:color="auto"/>
            <w:left w:val="none" w:sz="0" w:space="0" w:color="auto"/>
            <w:bottom w:val="none" w:sz="0" w:space="0" w:color="auto"/>
            <w:right w:val="none" w:sz="0" w:space="0" w:color="auto"/>
          </w:divBdr>
        </w:div>
      </w:divsChild>
    </w:div>
    <w:div w:id="796946184">
      <w:bodyDiv w:val="1"/>
      <w:marLeft w:val="0"/>
      <w:marRight w:val="0"/>
      <w:marTop w:val="0"/>
      <w:marBottom w:val="0"/>
      <w:divBdr>
        <w:top w:val="none" w:sz="0" w:space="0" w:color="auto"/>
        <w:left w:val="none" w:sz="0" w:space="0" w:color="auto"/>
        <w:bottom w:val="none" w:sz="0" w:space="0" w:color="auto"/>
        <w:right w:val="none" w:sz="0" w:space="0" w:color="auto"/>
      </w:divBdr>
    </w:div>
    <w:div w:id="818158377">
      <w:bodyDiv w:val="1"/>
      <w:marLeft w:val="0"/>
      <w:marRight w:val="0"/>
      <w:marTop w:val="0"/>
      <w:marBottom w:val="0"/>
      <w:divBdr>
        <w:top w:val="none" w:sz="0" w:space="0" w:color="auto"/>
        <w:left w:val="none" w:sz="0" w:space="0" w:color="auto"/>
        <w:bottom w:val="none" w:sz="0" w:space="0" w:color="auto"/>
        <w:right w:val="none" w:sz="0" w:space="0" w:color="auto"/>
      </w:divBdr>
    </w:div>
    <w:div w:id="821115147">
      <w:bodyDiv w:val="1"/>
      <w:marLeft w:val="0"/>
      <w:marRight w:val="0"/>
      <w:marTop w:val="0"/>
      <w:marBottom w:val="0"/>
      <w:divBdr>
        <w:top w:val="none" w:sz="0" w:space="0" w:color="auto"/>
        <w:left w:val="none" w:sz="0" w:space="0" w:color="auto"/>
        <w:bottom w:val="none" w:sz="0" w:space="0" w:color="auto"/>
        <w:right w:val="none" w:sz="0" w:space="0" w:color="auto"/>
      </w:divBdr>
    </w:div>
    <w:div w:id="885487707">
      <w:bodyDiv w:val="1"/>
      <w:marLeft w:val="0"/>
      <w:marRight w:val="0"/>
      <w:marTop w:val="0"/>
      <w:marBottom w:val="0"/>
      <w:divBdr>
        <w:top w:val="none" w:sz="0" w:space="0" w:color="auto"/>
        <w:left w:val="none" w:sz="0" w:space="0" w:color="auto"/>
        <w:bottom w:val="none" w:sz="0" w:space="0" w:color="auto"/>
        <w:right w:val="none" w:sz="0" w:space="0" w:color="auto"/>
      </w:divBdr>
    </w:div>
    <w:div w:id="895360953">
      <w:bodyDiv w:val="1"/>
      <w:marLeft w:val="0"/>
      <w:marRight w:val="0"/>
      <w:marTop w:val="0"/>
      <w:marBottom w:val="0"/>
      <w:divBdr>
        <w:top w:val="none" w:sz="0" w:space="0" w:color="auto"/>
        <w:left w:val="none" w:sz="0" w:space="0" w:color="auto"/>
        <w:bottom w:val="none" w:sz="0" w:space="0" w:color="auto"/>
        <w:right w:val="none" w:sz="0" w:space="0" w:color="auto"/>
      </w:divBdr>
    </w:div>
    <w:div w:id="931157692">
      <w:bodyDiv w:val="1"/>
      <w:marLeft w:val="0"/>
      <w:marRight w:val="0"/>
      <w:marTop w:val="0"/>
      <w:marBottom w:val="0"/>
      <w:divBdr>
        <w:top w:val="none" w:sz="0" w:space="0" w:color="auto"/>
        <w:left w:val="none" w:sz="0" w:space="0" w:color="auto"/>
        <w:bottom w:val="none" w:sz="0" w:space="0" w:color="auto"/>
        <w:right w:val="none" w:sz="0" w:space="0" w:color="auto"/>
      </w:divBdr>
    </w:div>
    <w:div w:id="965550812">
      <w:bodyDiv w:val="1"/>
      <w:marLeft w:val="0"/>
      <w:marRight w:val="0"/>
      <w:marTop w:val="0"/>
      <w:marBottom w:val="0"/>
      <w:divBdr>
        <w:top w:val="none" w:sz="0" w:space="0" w:color="auto"/>
        <w:left w:val="none" w:sz="0" w:space="0" w:color="auto"/>
        <w:bottom w:val="none" w:sz="0" w:space="0" w:color="auto"/>
        <w:right w:val="none" w:sz="0" w:space="0" w:color="auto"/>
      </w:divBdr>
    </w:div>
    <w:div w:id="981008836">
      <w:bodyDiv w:val="1"/>
      <w:marLeft w:val="0"/>
      <w:marRight w:val="0"/>
      <w:marTop w:val="0"/>
      <w:marBottom w:val="0"/>
      <w:divBdr>
        <w:top w:val="none" w:sz="0" w:space="0" w:color="auto"/>
        <w:left w:val="none" w:sz="0" w:space="0" w:color="auto"/>
        <w:bottom w:val="none" w:sz="0" w:space="0" w:color="auto"/>
        <w:right w:val="none" w:sz="0" w:space="0" w:color="auto"/>
      </w:divBdr>
    </w:div>
    <w:div w:id="1004279873">
      <w:bodyDiv w:val="1"/>
      <w:marLeft w:val="0"/>
      <w:marRight w:val="0"/>
      <w:marTop w:val="0"/>
      <w:marBottom w:val="0"/>
      <w:divBdr>
        <w:top w:val="none" w:sz="0" w:space="0" w:color="auto"/>
        <w:left w:val="none" w:sz="0" w:space="0" w:color="auto"/>
        <w:bottom w:val="none" w:sz="0" w:space="0" w:color="auto"/>
        <w:right w:val="none" w:sz="0" w:space="0" w:color="auto"/>
      </w:divBdr>
    </w:div>
    <w:div w:id="1092166952">
      <w:bodyDiv w:val="1"/>
      <w:marLeft w:val="0"/>
      <w:marRight w:val="0"/>
      <w:marTop w:val="0"/>
      <w:marBottom w:val="0"/>
      <w:divBdr>
        <w:top w:val="none" w:sz="0" w:space="0" w:color="auto"/>
        <w:left w:val="none" w:sz="0" w:space="0" w:color="auto"/>
        <w:bottom w:val="none" w:sz="0" w:space="0" w:color="auto"/>
        <w:right w:val="none" w:sz="0" w:space="0" w:color="auto"/>
      </w:divBdr>
    </w:div>
    <w:div w:id="1168253770">
      <w:bodyDiv w:val="1"/>
      <w:marLeft w:val="0"/>
      <w:marRight w:val="0"/>
      <w:marTop w:val="0"/>
      <w:marBottom w:val="0"/>
      <w:divBdr>
        <w:top w:val="none" w:sz="0" w:space="0" w:color="auto"/>
        <w:left w:val="none" w:sz="0" w:space="0" w:color="auto"/>
        <w:bottom w:val="none" w:sz="0" w:space="0" w:color="auto"/>
        <w:right w:val="none" w:sz="0" w:space="0" w:color="auto"/>
      </w:divBdr>
    </w:div>
    <w:div w:id="1197812239">
      <w:bodyDiv w:val="1"/>
      <w:marLeft w:val="0"/>
      <w:marRight w:val="0"/>
      <w:marTop w:val="0"/>
      <w:marBottom w:val="0"/>
      <w:divBdr>
        <w:top w:val="none" w:sz="0" w:space="0" w:color="auto"/>
        <w:left w:val="none" w:sz="0" w:space="0" w:color="auto"/>
        <w:bottom w:val="none" w:sz="0" w:space="0" w:color="auto"/>
        <w:right w:val="none" w:sz="0" w:space="0" w:color="auto"/>
      </w:divBdr>
    </w:div>
    <w:div w:id="1309244338">
      <w:bodyDiv w:val="1"/>
      <w:marLeft w:val="0"/>
      <w:marRight w:val="0"/>
      <w:marTop w:val="0"/>
      <w:marBottom w:val="0"/>
      <w:divBdr>
        <w:top w:val="none" w:sz="0" w:space="0" w:color="auto"/>
        <w:left w:val="none" w:sz="0" w:space="0" w:color="auto"/>
        <w:bottom w:val="none" w:sz="0" w:space="0" w:color="auto"/>
        <w:right w:val="none" w:sz="0" w:space="0" w:color="auto"/>
      </w:divBdr>
    </w:div>
    <w:div w:id="1382435239">
      <w:bodyDiv w:val="1"/>
      <w:marLeft w:val="0"/>
      <w:marRight w:val="0"/>
      <w:marTop w:val="0"/>
      <w:marBottom w:val="0"/>
      <w:divBdr>
        <w:top w:val="none" w:sz="0" w:space="0" w:color="auto"/>
        <w:left w:val="none" w:sz="0" w:space="0" w:color="auto"/>
        <w:bottom w:val="none" w:sz="0" w:space="0" w:color="auto"/>
        <w:right w:val="none" w:sz="0" w:space="0" w:color="auto"/>
      </w:divBdr>
    </w:div>
    <w:div w:id="1424447204">
      <w:bodyDiv w:val="1"/>
      <w:marLeft w:val="0"/>
      <w:marRight w:val="0"/>
      <w:marTop w:val="0"/>
      <w:marBottom w:val="0"/>
      <w:divBdr>
        <w:top w:val="none" w:sz="0" w:space="0" w:color="auto"/>
        <w:left w:val="none" w:sz="0" w:space="0" w:color="auto"/>
        <w:bottom w:val="none" w:sz="0" w:space="0" w:color="auto"/>
        <w:right w:val="none" w:sz="0" w:space="0" w:color="auto"/>
      </w:divBdr>
    </w:div>
    <w:div w:id="1453865073">
      <w:bodyDiv w:val="1"/>
      <w:marLeft w:val="0"/>
      <w:marRight w:val="0"/>
      <w:marTop w:val="0"/>
      <w:marBottom w:val="0"/>
      <w:divBdr>
        <w:top w:val="none" w:sz="0" w:space="0" w:color="auto"/>
        <w:left w:val="none" w:sz="0" w:space="0" w:color="auto"/>
        <w:bottom w:val="none" w:sz="0" w:space="0" w:color="auto"/>
        <w:right w:val="none" w:sz="0" w:space="0" w:color="auto"/>
      </w:divBdr>
    </w:div>
    <w:div w:id="1539587247">
      <w:bodyDiv w:val="1"/>
      <w:marLeft w:val="0"/>
      <w:marRight w:val="0"/>
      <w:marTop w:val="0"/>
      <w:marBottom w:val="0"/>
      <w:divBdr>
        <w:top w:val="none" w:sz="0" w:space="0" w:color="auto"/>
        <w:left w:val="none" w:sz="0" w:space="0" w:color="auto"/>
        <w:bottom w:val="none" w:sz="0" w:space="0" w:color="auto"/>
        <w:right w:val="none" w:sz="0" w:space="0" w:color="auto"/>
      </w:divBdr>
    </w:div>
    <w:div w:id="1604268648">
      <w:bodyDiv w:val="1"/>
      <w:marLeft w:val="0"/>
      <w:marRight w:val="0"/>
      <w:marTop w:val="0"/>
      <w:marBottom w:val="0"/>
      <w:divBdr>
        <w:top w:val="none" w:sz="0" w:space="0" w:color="auto"/>
        <w:left w:val="none" w:sz="0" w:space="0" w:color="auto"/>
        <w:bottom w:val="none" w:sz="0" w:space="0" w:color="auto"/>
        <w:right w:val="none" w:sz="0" w:space="0" w:color="auto"/>
      </w:divBdr>
    </w:div>
    <w:div w:id="1678461807">
      <w:bodyDiv w:val="1"/>
      <w:marLeft w:val="0"/>
      <w:marRight w:val="0"/>
      <w:marTop w:val="0"/>
      <w:marBottom w:val="0"/>
      <w:divBdr>
        <w:top w:val="none" w:sz="0" w:space="0" w:color="auto"/>
        <w:left w:val="none" w:sz="0" w:space="0" w:color="auto"/>
        <w:bottom w:val="none" w:sz="0" w:space="0" w:color="auto"/>
        <w:right w:val="none" w:sz="0" w:space="0" w:color="auto"/>
      </w:divBdr>
    </w:div>
    <w:div w:id="1693413905">
      <w:bodyDiv w:val="1"/>
      <w:marLeft w:val="0"/>
      <w:marRight w:val="0"/>
      <w:marTop w:val="0"/>
      <w:marBottom w:val="0"/>
      <w:divBdr>
        <w:top w:val="none" w:sz="0" w:space="0" w:color="auto"/>
        <w:left w:val="none" w:sz="0" w:space="0" w:color="auto"/>
        <w:bottom w:val="none" w:sz="0" w:space="0" w:color="auto"/>
        <w:right w:val="none" w:sz="0" w:space="0" w:color="auto"/>
      </w:divBdr>
    </w:div>
    <w:div w:id="1723366860">
      <w:bodyDiv w:val="1"/>
      <w:marLeft w:val="0"/>
      <w:marRight w:val="0"/>
      <w:marTop w:val="0"/>
      <w:marBottom w:val="0"/>
      <w:divBdr>
        <w:top w:val="none" w:sz="0" w:space="0" w:color="auto"/>
        <w:left w:val="none" w:sz="0" w:space="0" w:color="auto"/>
        <w:bottom w:val="none" w:sz="0" w:space="0" w:color="auto"/>
        <w:right w:val="none" w:sz="0" w:space="0" w:color="auto"/>
      </w:divBdr>
    </w:div>
    <w:div w:id="1746759452">
      <w:bodyDiv w:val="1"/>
      <w:marLeft w:val="0"/>
      <w:marRight w:val="0"/>
      <w:marTop w:val="0"/>
      <w:marBottom w:val="0"/>
      <w:divBdr>
        <w:top w:val="none" w:sz="0" w:space="0" w:color="auto"/>
        <w:left w:val="none" w:sz="0" w:space="0" w:color="auto"/>
        <w:bottom w:val="none" w:sz="0" w:space="0" w:color="auto"/>
        <w:right w:val="none" w:sz="0" w:space="0" w:color="auto"/>
      </w:divBdr>
    </w:div>
    <w:div w:id="1754276712">
      <w:bodyDiv w:val="1"/>
      <w:marLeft w:val="0"/>
      <w:marRight w:val="0"/>
      <w:marTop w:val="0"/>
      <w:marBottom w:val="0"/>
      <w:divBdr>
        <w:top w:val="none" w:sz="0" w:space="0" w:color="auto"/>
        <w:left w:val="none" w:sz="0" w:space="0" w:color="auto"/>
        <w:bottom w:val="none" w:sz="0" w:space="0" w:color="auto"/>
        <w:right w:val="none" w:sz="0" w:space="0" w:color="auto"/>
      </w:divBdr>
    </w:div>
    <w:div w:id="1859536785">
      <w:bodyDiv w:val="1"/>
      <w:marLeft w:val="0"/>
      <w:marRight w:val="0"/>
      <w:marTop w:val="0"/>
      <w:marBottom w:val="0"/>
      <w:divBdr>
        <w:top w:val="none" w:sz="0" w:space="0" w:color="auto"/>
        <w:left w:val="none" w:sz="0" w:space="0" w:color="auto"/>
        <w:bottom w:val="none" w:sz="0" w:space="0" w:color="auto"/>
        <w:right w:val="none" w:sz="0" w:space="0" w:color="auto"/>
      </w:divBdr>
    </w:div>
    <w:div w:id="1879664276">
      <w:bodyDiv w:val="1"/>
      <w:marLeft w:val="0"/>
      <w:marRight w:val="0"/>
      <w:marTop w:val="0"/>
      <w:marBottom w:val="0"/>
      <w:divBdr>
        <w:top w:val="none" w:sz="0" w:space="0" w:color="auto"/>
        <w:left w:val="none" w:sz="0" w:space="0" w:color="auto"/>
        <w:bottom w:val="none" w:sz="0" w:space="0" w:color="auto"/>
        <w:right w:val="none" w:sz="0" w:space="0" w:color="auto"/>
      </w:divBdr>
    </w:div>
    <w:div w:id="1939210880">
      <w:bodyDiv w:val="1"/>
      <w:marLeft w:val="0"/>
      <w:marRight w:val="0"/>
      <w:marTop w:val="0"/>
      <w:marBottom w:val="0"/>
      <w:divBdr>
        <w:top w:val="none" w:sz="0" w:space="0" w:color="auto"/>
        <w:left w:val="none" w:sz="0" w:space="0" w:color="auto"/>
        <w:bottom w:val="none" w:sz="0" w:space="0" w:color="auto"/>
        <w:right w:val="none" w:sz="0" w:space="0" w:color="auto"/>
      </w:divBdr>
    </w:div>
    <w:div w:id="196195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hyperlink" Target="https://dx.doi.org/10.3892/ijmm.2020.4596?email=ckV0VkRZY25wUS82Z2ZsSWtWUDJWY0Y5Yy9yS21tV05sdHlCUC95bCtnQT0tLUVoVjB6U0hWNGs4R2MzdGJBUmhhNnc9PQ%3D%3D--d0e713e8df426bc7922466fbd10aae083269dcfd&amp;utm_campaign=production-campaign-1082&amp;utm_medium=email&amp;utm_source=bulk_mailer" TargetMode="External"/><Relationship Id="rId26" Type="http://schemas.openxmlformats.org/officeDocument/2006/relationships/hyperlink" Target="https://doi.org/10.31260/RepertMedCir.01217372.1082" TargetMode="External"/><Relationship Id="rId3" Type="http://schemas.openxmlformats.org/officeDocument/2006/relationships/styles" Target="styles.xml"/><Relationship Id="rId21" Type="http://schemas.openxmlformats.org/officeDocument/2006/relationships/hyperlink" Target="https://dx.doi.org/10.1038/nrrheum.2009.196?email=ckV0VkRZY25wUS82Z2ZsSWtWUDJWY0Y5Yy9yS21tV05sdHlCUC95bCtnQT0tLUVoVjB6U0hWNGs4R2MzdGJBUmhhNnc9PQ%3D%3D--d0e713e8df426bc7922466fbd10aae083269dcfd&amp;utm_campaign=production-campaign-1082&amp;utm_medium=email&amp;utm_source=bulk_mailer" TargetMode="Externa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yperlink" Target="https://dx.doi.org/10.3892/ijmm.2020.4733?email=ckV0VkRZY25wUS82Z2ZsSWtWUDJWY0Y5Yy9yS21tV05sdHlCUC95bCtnQT0tLUVoVjB6U0hWNGs4R2MzdGJBUmhhNnc9PQ%3D%3D--d0e713e8df426bc7922466fbd10aae083269dcfd&amp;utm_campaign=production-campaign-1082&amp;utm_medium=email&amp;utm_source=bulk_mailer" TargetMode="External"/><Relationship Id="rId25" Type="http://schemas.openxmlformats.org/officeDocument/2006/relationships/hyperlink" Target="https://www.minsalud.gov.co/salud/publica/Vacunacion/Paginas/Vacunacion-covid-19.aspx" TargetMode="External"/><Relationship Id="rId2" Type="http://schemas.openxmlformats.org/officeDocument/2006/relationships/numbering" Target="numbering.xml"/><Relationship Id="rId16" Type="http://schemas.openxmlformats.org/officeDocument/2006/relationships/hyperlink" Target="https://dx.doi.org/10.3892/ijmm.2020.4733?email=ckV0VkRZY25wUS82Z2ZsSWtWUDJWY0Y5Yy9yS21tV05sdHlCUC95bCtnQT0tLUVoVjB6U0hWNGs4R2MzdGJBUmhhNnc9PQ%3D%3D--d0e713e8df426bc7922466fbd10aae083269dcfd&amp;utm_campaign=production-campaign-1082&amp;utm_medium=email&amp;utm_source=bulk_mailer" TargetMode="External"/><Relationship Id="rId20" Type="http://schemas.openxmlformats.org/officeDocument/2006/relationships/hyperlink" Target="https://dx.doi.org/10.1038/nrrheum.2009.196?email=ckV0VkRZY25wUS82Z2ZsSWtWUDJWY0Y5Yy9yS21tV05sdHlCUC95bCtnQT0tLUVoVjB6U0hWNGs4R2MzdGJBUmhhNnc9PQ%3D%3D--d0e713e8df426bc7922466fbd10aae083269dcfd&amp;utm_campaign=production-campaign-1082&amp;utm_medium=email&amp;utm_source=bulk_maile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jediazp@unal.edu.co" TargetMode="External"/><Relationship Id="rId11" Type="http://schemas.openxmlformats.org/officeDocument/2006/relationships/chart" Target="charts/chart5.xml"/><Relationship Id="rId24" Type="http://schemas.openxmlformats.org/officeDocument/2006/relationships/hyperlink" Target="https://dx.doi.org/10.3390/life11030249?email=ckV0VkRZY25wUS82Z2ZsSWtWUDJWY0Y5Yy9yS21tV05sdHlCUC95bCtnQT0tLUVoVjB6U0hWNGs4R2MzdGJBUmhhNnc9PQ%3D%3D--d0e713e8df426bc7922466fbd10aae083269dcfd&amp;utm_campaign=production-campaign-1082&amp;utm_medium=email&amp;utm_source=bulk_mailer" TargetMode="External"/><Relationship Id="rId5" Type="http://schemas.openxmlformats.org/officeDocument/2006/relationships/webSettings" Target="webSettings.xml"/><Relationship Id="rId15" Type="http://schemas.openxmlformats.org/officeDocument/2006/relationships/hyperlink" Target="https://jamanetwork.com/journals/jamainternalmedicine/fullarticle/2772943" TargetMode="External"/><Relationship Id="rId23" Type="http://schemas.openxmlformats.org/officeDocument/2006/relationships/hyperlink" Target="https://dx.doi.org/10.1136/bmj.m4037?email=ckV0VkRZY25wUS82Z2ZsSWtWUDJWY0Y5Yy9yS21tV05sdHlCUC95bCtnQT0tLUVoVjB6U0hWNGs4R2MzdGJBUmhhNnc9PQ%3D%3D--d0e713e8df426bc7922466fbd10aae083269dcfd&amp;utm_campaign=production-campaign-1082&amp;utm_medium=email&amp;utm_source=bulk_mailer" TargetMode="External"/><Relationship Id="rId28" Type="http://schemas.openxmlformats.org/officeDocument/2006/relationships/fontTable" Target="fontTable.xml"/><Relationship Id="rId10" Type="http://schemas.openxmlformats.org/officeDocument/2006/relationships/chart" Target="charts/chart4.xml"/><Relationship Id="rId19" Type="http://schemas.openxmlformats.org/officeDocument/2006/relationships/hyperlink" Target="https://dx.doi.org/10.3892/ijmm.2020.4596?email=ckV0VkRZY25wUS82Z2ZsSWtWUDJWY0Y5Yy9yS21tV05sdHlCUC95bCtnQT0tLUVoVjB6U0hWNGs4R2MzdGJBUmhhNnc9PQ%3D%3D--d0e713e8df426bc7922466fbd10aae083269dcfd&amp;utm_campaign=production-campaign-1082&amp;utm_medium=email&amp;utm_source=bulk_mailer" TargetMode="Externa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hyperlink" Target="https://www.ncbi.nlm.nih.gov/pmc/articles/PMC6548900/pdf/jiz070.pdf" TargetMode="External"/><Relationship Id="rId22" Type="http://schemas.openxmlformats.org/officeDocument/2006/relationships/hyperlink" Target="https://dx.doi.org/10.1136/bmj.m4037?email=ckV0VkRZY25wUS82Z2ZsSWtWUDJWY0Y5Yy9yS21tV05sdHlCUC95bCtnQT0tLUVoVjB6U0hWNGs4R2MzdGJBUmhhNnc9PQ%3D%3D--d0e713e8df426bc7922466fbd10aae083269dcfd&amp;utm_campaign=production-campaign-1082&amp;utm_medium=email&amp;utm_source=bulk_mailer" TargetMode="External"/><Relationship Id="rId27" Type="http://schemas.openxmlformats.org/officeDocument/2006/relationships/hyperlink" Target="https://doi.org/10.31260/Reper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uario\Desktop\Covid-2019\Estad&#237;stica-Colombi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uario\Desktop\Covid-2019\Estad&#237;stica-Colombi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uario\Desktop\Covid-2019\Estad&#237;stica-Colombi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uario\Desktop\Covid-2019\Estad&#237;stica-Colombi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uario\Desktop\Covid-2019\Estad&#237;stica-Colombi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uario\Desktop\Covid-2019\Estad&#237;stica-Colombia.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uario\Desktop\Covid-2019\Estad&#237;stica-Colombia.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'Dosis-cantidad'!$B$1</c:f>
              <c:strCache>
                <c:ptCount val="1"/>
                <c:pt idx="0">
                  <c:v>Dosis 1</c:v>
                </c:pt>
              </c:strCache>
            </c:strRef>
          </c:tx>
          <c:spPr>
            <a:solidFill>
              <a:schemeClr val="accent1"/>
            </a:solidFill>
            <a:ln>
              <a:noFill/>
            </a:ln>
            <a:effectLst/>
          </c:spPr>
          <c:invertIfNegative val="0"/>
          <c:cat>
            <c:strRef>
              <c:f>'Dosis-cantidad'!$A$2:$A$38</c:f>
              <c:strCache>
                <c:ptCount val="37"/>
                <c:pt idx="0">
                  <c:v>Bogotá</c:v>
                </c:pt>
                <c:pt idx="1">
                  <c:v>Antioquia</c:v>
                </c:pt>
                <c:pt idx="2">
                  <c:v>Valle</c:v>
                </c:pt>
                <c:pt idx="3">
                  <c:v>Cundinamarca</c:v>
                </c:pt>
                <c:pt idx="4">
                  <c:v>Santander</c:v>
                </c:pt>
                <c:pt idx="5">
                  <c:v>Barranquilla</c:v>
                </c:pt>
                <c:pt idx="6">
                  <c:v>Nariño</c:v>
                </c:pt>
                <c:pt idx="7">
                  <c:v>Boyacá</c:v>
                </c:pt>
                <c:pt idx="8">
                  <c:v>Nte. Santander</c:v>
                </c:pt>
                <c:pt idx="9">
                  <c:v>Córdoba</c:v>
                </c:pt>
                <c:pt idx="10">
                  <c:v>Tolima</c:v>
                </c:pt>
                <c:pt idx="11">
                  <c:v>Risaralda</c:v>
                </c:pt>
                <c:pt idx="12">
                  <c:v>Caldas</c:v>
                </c:pt>
                <c:pt idx="13">
                  <c:v>Cartagena</c:v>
                </c:pt>
                <c:pt idx="14">
                  <c:v>Cauca</c:v>
                </c:pt>
                <c:pt idx="15">
                  <c:v>Huila</c:v>
                </c:pt>
                <c:pt idx="16">
                  <c:v>Atlántico</c:v>
                </c:pt>
                <c:pt idx="17">
                  <c:v>Bolívar</c:v>
                </c:pt>
                <c:pt idx="18">
                  <c:v>Cesar</c:v>
                </c:pt>
                <c:pt idx="19">
                  <c:v>Meta</c:v>
                </c:pt>
                <c:pt idx="20">
                  <c:v>Sucre</c:v>
                </c:pt>
                <c:pt idx="21">
                  <c:v>La Guajira</c:v>
                </c:pt>
                <c:pt idx="22">
                  <c:v>Quíndio</c:v>
                </c:pt>
                <c:pt idx="23">
                  <c:v>Magdalena</c:v>
                </c:pt>
                <c:pt idx="24">
                  <c:v>Santa Marta</c:v>
                </c:pt>
                <c:pt idx="25">
                  <c:v>Casanare</c:v>
                </c:pt>
                <c:pt idx="26">
                  <c:v>Caquetá</c:v>
                </c:pt>
                <c:pt idx="27">
                  <c:v>Chocó</c:v>
                </c:pt>
                <c:pt idx="28">
                  <c:v>Putumayo</c:v>
                </c:pt>
                <c:pt idx="29">
                  <c:v>Arauca</c:v>
                </c:pt>
                <c:pt idx="30">
                  <c:v>Buenaventura</c:v>
                </c:pt>
                <c:pt idx="31">
                  <c:v>San Andrés y Providencia</c:v>
                </c:pt>
                <c:pt idx="32">
                  <c:v>Amazonas</c:v>
                </c:pt>
                <c:pt idx="33">
                  <c:v>Guaviare</c:v>
                </c:pt>
                <c:pt idx="34">
                  <c:v>Guainía</c:v>
                </c:pt>
                <c:pt idx="35">
                  <c:v>Vichada</c:v>
                </c:pt>
                <c:pt idx="36">
                  <c:v>Vaupés</c:v>
                </c:pt>
              </c:strCache>
            </c:strRef>
          </c:cat>
          <c:val>
            <c:numRef>
              <c:f>'Dosis-cantidad'!$B$2:$B$38</c:f>
              <c:numCache>
                <c:formatCode>General</c:formatCode>
                <c:ptCount val="37"/>
                <c:pt idx="0">
                  <c:v>3345545</c:v>
                </c:pt>
                <c:pt idx="1">
                  <c:v>2684291</c:v>
                </c:pt>
                <c:pt idx="2">
                  <c:v>1667066</c:v>
                </c:pt>
                <c:pt idx="3">
                  <c:v>1104546</c:v>
                </c:pt>
                <c:pt idx="4">
                  <c:v>900606</c:v>
                </c:pt>
                <c:pt idx="5">
                  <c:v>555019</c:v>
                </c:pt>
                <c:pt idx="6">
                  <c:v>509840</c:v>
                </c:pt>
                <c:pt idx="7">
                  <c:v>525253</c:v>
                </c:pt>
                <c:pt idx="8">
                  <c:v>489620</c:v>
                </c:pt>
                <c:pt idx="9">
                  <c:v>498610</c:v>
                </c:pt>
                <c:pt idx="10">
                  <c:v>503269</c:v>
                </c:pt>
                <c:pt idx="11">
                  <c:v>383619</c:v>
                </c:pt>
                <c:pt idx="12">
                  <c:v>406765</c:v>
                </c:pt>
                <c:pt idx="13">
                  <c:v>376164</c:v>
                </c:pt>
                <c:pt idx="14">
                  <c:v>381692</c:v>
                </c:pt>
                <c:pt idx="15">
                  <c:v>369991</c:v>
                </c:pt>
                <c:pt idx="16">
                  <c:v>369236</c:v>
                </c:pt>
                <c:pt idx="17">
                  <c:v>339976</c:v>
                </c:pt>
                <c:pt idx="18">
                  <c:v>330772</c:v>
                </c:pt>
                <c:pt idx="19">
                  <c:v>317697</c:v>
                </c:pt>
                <c:pt idx="20">
                  <c:v>287269</c:v>
                </c:pt>
                <c:pt idx="21">
                  <c:v>198338</c:v>
                </c:pt>
                <c:pt idx="22">
                  <c:v>244848</c:v>
                </c:pt>
                <c:pt idx="23">
                  <c:v>207092</c:v>
                </c:pt>
                <c:pt idx="24">
                  <c:v>161594</c:v>
                </c:pt>
                <c:pt idx="25">
                  <c:v>136505</c:v>
                </c:pt>
                <c:pt idx="26">
                  <c:v>106393</c:v>
                </c:pt>
                <c:pt idx="27">
                  <c:v>81160</c:v>
                </c:pt>
                <c:pt idx="28">
                  <c:v>75009</c:v>
                </c:pt>
                <c:pt idx="29">
                  <c:v>77332</c:v>
                </c:pt>
                <c:pt idx="30">
                  <c:v>48403</c:v>
                </c:pt>
                <c:pt idx="31">
                  <c:v>78244</c:v>
                </c:pt>
                <c:pt idx="32">
                  <c:v>41865</c:v>
                </c:pt>
                <c:pt idx="33">
                  <c:v>20132</c:v>
                </c:pt>
                <c:pt idx="34">
                  <c:v>13090</c:v>
                </c:pt>
                <c:pt idx="35">
                  <c:v>12666</c:v>
                </c:pt>
                <c:pt idx="36">
                  <c:v>11386</c:v>
                </c:pt>
              </c:numCache>
            </c:numRef>
          </c:val>
          <c:extLst>
            <c:ext xmlns:c16="http://schemas.microsoft.com/office/drawing/2014/chart" uri="{C3380CC4-5D6E-409C-BE32-E72D297353CC}">
              <c16:uniqueId val="{00000000-1263-4535-894C-D18F0A66FB6B}"/>
            </c:ext>
          </c:extLst>
        </c:ser>
        <c:ser>
          <c:idx val="1"/>
          <c:order val="1"/>
          <c:tx>
            <c:strRef>
              <c:f>'Dosis-cantidad'!$C$1</c:f>
              <c:strCache>
                <c:ptCount val="1"/>
                <c:pt idx="0">
                  <c:v>Dosis 2</c:v>
                </c:pt>
              </c:strCache>
            </c:strRef>
          </c:tx>
          <c:spPr>
            <a:solidFill>
              <a:schemeClr val="accent2"/>
            </a:solidFill>
            <a:ln>
              <a:noFill/>
            </a:ln>
            <a:effectLst/>
          </c:spPr>
          <c:invertIfNegative val="0"/>
          <c:cat>
            <c:strRef>
              <c:f>'Dosis-cantidad'!$A$2:$A$38</c:f>
              <c:strCache>
                <c:ptCount val="37"/>
                <c:pt idx="0">
                  <c:v>Bogotá</c:v>
                </c:pt>
                <c:pt idx="1">
                  <c:v>Antioquia</c:v>
                </c:pt>
                <c:pt idx="2">
                  <c:v>Valle</c:v>
                </c:pt>
                <c:pt idx="3">
                  <c:v>Cundinamarca</c:v>
                </c:pt>
                <c:pt idx="4">
                  <c:v>Santander</c:v>
                </c:pt>
                <c:pt idx="5">
                  <c:v>Barranquilla</c:v>
                </c:pt>
                <c:pt idx="6">
                  <c:v>Nariño</c:v>
                </c:pt>
                <c:pt idx="7">
                  <c:v>Boyacá</c:v>
                </c:pt>
                <c:pt idx="8">
                  <c:v>Nte. Santander</c:v>
                </c:pt>
                <c:pt idx="9">
                  <c:v>Córdoba</c:v>
                </c:pt>
                <c:pt idx="10">
                  <c:v>Tolima</c:v>
                </c:pt>
                <c:pt idx="11">
                  <c:v>Risaralda</c:v>
                </c:pt>
                <c:pt idx="12">
                  <c:v>Caldas</c:v>
                </c:pt>
                <c:pt idx="13">
                  <c:v>Cartagena</c:v>
                </c:pt>
                <c:pt idx="14">
                  <c:v>Cauca</c:v>
                </c:pt>
                <c:pt idx="15">
                  <c:v>Huila</c:v>
                </c:pt>
                <c:pt idx="16">
                  <c:v>Atlántico</c:v>
                </c:pt>
                <c:pt idx="17">
                  <c:v>Bolívar</c:v>
                </c:pt>
                <c:pt idx="18">
                  <c:v>Cesar</c:v>
                </c:pt>
                <c:pt idx="19">
                  <c:v>Meta</c:v>
                </c:pt>
                <c:pt idx="20">
                  <c:v>Sucre</c:v>
                </c:pt>
                <c:pt idx="21">
                  <c:v>La Guajira</c:v>
                </c:pt>
                <c:pt idx="22">
                  <c:v>Quíndio</c:v>
                </c:pt>
                <c:pt idx="23">
                  <c:v>Magdalena</c:v>
                </c:pt>
                <c:pt idx="24">
                  <c:v>Santa Marta</c:v>
                </c:pt>
                <c:pt idx="25">
                  <c:v>Casanare</c:v>
                </c:pt>
                <c:pt idx="26">
                  <c:v>Caquetá</c:v>
                </c:pt>
                <c:pt idx="27">
                  <c:v>Chocó</c:v>
                </c:pt>
                <c:pt idx="28">
                  <c:v>Putumayo</c:v>
                </c:pt>
                <c:pt idx="29">
                  <c:v>Arauca</c:v>
                </c:pt>
                <c:pt idx="30">
                  <c:v>Buenaventura</c:v>
                </c:pt>
                <c:pt idx="31">
                  <c:v>San Andrés y Providencia</c:v>
                </c:pt>
                <c:pt idx="32">
                  <c:v>Amazonas</c:v>
                </c:pt>
                <c:pt idx="33">
                  <c:v>Guaviare</c:v>
                </c:pt>
                <c:pt idx="34">
                  <c:v>Guainía</c:v>
                </c:pt>
                <c:pt idx="35">
                  <c:v>Vichada</c:v>
                </c:pt>
                <c:pt idx="36">
                  <c:v>Vaupés</c:v>
                </c:pt>
              </c:strCache>
            </c:strRef>
          </c:cat>
          <c:val>
            <c:numRef>
              <c:f>'Dosis-cantidad'!$C$2:$C$38</c:f>
              <c:numCache>
                <c:formatCode>General</c:formatCode>
                <c:ptCount val="37"/>
                <c:pt idx="0">
                  <c:v>2423939</c:v>
                </c:pt>
                <c:pt idx="1">
                  <c:v>1880552</c:v>
                </c:pt>
                <c:pt idx="2">
                  <c:v>1137959</c:v>
                </c:pt>
                <c:pt idx="3">
                  <c:v>743951</c:v>
                </c:pt>
                <c:pt idx="4">
                  <c:v>631517</c:v>
                </c:pt>
                <c:pt idx="5">
                  <c:v>401756</c:v>
                </c:pt>
                <c:pt idx="6">
                  <c:v>347683</c:v>
                </c:pt>
                <c:pt idx="7">
                  <c:v>337234</c:v>
                </c:pt>
                <c:pt idx="8">
                  <c:v>337961</c:v>
                </c:pt>
                <c:pt idx="9">
                  <c:v>359024</c:v>
                </c:pt>
                <c:pt idx="10">
                  <c:v>341425</c:v>
                </c:pt>
                <c:pt idx="11">
                  <c:v>304194</c:v>
                </c:pt>
                <c:pt idx="12">
                  <c:v>268434</c:v>
                </c:pt>
                <c:pt idx="13">
                  <c:v>274088</c:v>
                </c:pt>
                <c:pt idx="14">
                  <c:v>232443</c:v>
                </c:pt>
                <c:pt idx="15">
                  <c:v>240879</c:v>
                </c:pt>
                <c:pt idx="16">
                  <c:v>252015</c:v>
                </c:pt>
                <c:pt idx="17">
                  <c:v>216321</c:v>
                </c:pt>
                <c:pt idx="18">
                  <c:v>223521</c:v>
                </c:pt>
                <c:pt idx="19">
                  <c:v>212001</c:v>
                </c:pt>
                <c:pt idx="20">
                  <c:v>208167</c:v>
                </c:pt>
                <c:pt idx="21">
                  <c:v>158342</c:v>
                </c:pt>
                <c:pt idx="22">
                  <c:v>178060</c:v>
                </c:pt>
                <c:pt idx="23">
                  <c:v>147358</c:v>
                </c:pt>
                <c:pt idx="24">
                  <c:v>117853</c:v>
                </c:pt>
                <c:pt idx="25">
                  <c:v>86517</c:v>
                </c:pt>
                <c:pt idx="26">
                  <c:v>82125</c:v>
                </c:pt>
                <c:pt idx="27">
                  <c:v>79650</c:v>
                </c:pt>
                <c:pt idx="28">
                  <c:v>58480</c:v>
                </c:pt>
                <c:pt idx="29">
                  <c:v>54765</c:v>
                </c:pt>
                <c:pt idx="30">
                  <c:v>30763</c:v>
                </c:pt>
                <c:pt idx="31">
                  <c:v>11695</c:v>
                </c:pt>
                <c:pt idx="32">
                  <c:v>25641</c:v>
                </c:pt>
                <c:pt idx="33">
                  <c:v>12358</c:v>
                </c:pt>
                <c:pt idx="34">
                  <c:v>12402</c:v>
                </c:pt>
                <c:pt idx="35">
                  <c:v>8968</c:v>
                </c:pt>
                <c:pt idx="36">
                  <c:v>6145</c:v>
                </c:pt>
              </c:numCache>
            </c:numRef>
          </c:val>
          <c:extLst>
            <c:ext xmlns:c16="http://schemas.microsoft.com/office/drawing/2014/chart" uri="{C3380CC4-5D6E-409C-BE32-E72D297353CC}">
              <c16:uniqueId val="{00000001-1263-4535-894C-D18F0A66FB6B}"/>
            </c:ext>
          </c:extLst>
        </c:ser>
        <c:ser>
          <c:idx val="2"/>
          <c:order val="2"/>
          <c:tx>
            <c:strRef>
              <c:f>'Dosis-cantidad'!$D$1</c:f>
              <c:strCache>
                <c:ptCount val="1"/>
                <c:pt idx="0">
                  <c:v>Monodosis</c:v>
                </c:pt>
              </c:strCache>
            </c:strRef>
          </c:tx>
          <c:spPr>
            <a:solidFill>
              <a:schemeClr val="accent3"/>
            </a:solidFill>
            <a:ln>
              <a:noFill/>
            </a:ln>
            <a:effectLst/>
          </c:spPr>
          <c:invertIfNegative val="0"/>
          <c:cat>
            <c:strRef>
              <c:f>'Dosis-cantidad'!$A$2:$A$38</c:f>
              <c:strCache>
                <c:ptCount val="37"/>
                <c:pt idx="0">
                  <c:v>Bogotá</c:v>
                </c:pt>
                <c:pt idx="1">
                  <c:v>Antioquia</c:v>
                </c:pt>
                <c:pt idx="2">
                  <c:v>Valle</c:v>
                </c:pt>
                <c:pt idx="3">
                  <c:v>Cundinamarca</c:v>
                </c:pt>
                <c:pt idx="4">
                  <c:v>Santander</c:v>
                </c:pt>
                <c:pt idx="5">
                  <c:v>Barranquilla</c:v>
                </c:pt>
                <c:pt idx="6">
                  <c:v>Nariño</c:v>
                </c:pt>
                <c:pt idx="7">
                  <c:v>Boyacá</c:v>
                </c:pt>
                <c:pt idx="8">
                  <c:v>Nte. Santander</c:v>
                </c:pt>
                <c:pt idx="9">
                  <c:v>Córdoba</c:v>
                </c:pt>
                <c:pt idx="10">
                  <c:v>Tolima</c:v>
                </c:pt>
                <c:pt idx="11">
                  <c:v>Risaralda</c:v>
                </c:pt>
                <c:pt idx="12">
                  <c:v>Caldas</c:v>
                </c:pt>
                <c:pt idx="13">
                  <c:v>Cartagena</c:v>
                </c:pt>
                <c:pt idx="14">
                  <c:v>Cauca</c:v>
                </c:pt>
                <c:pt idx="15">
                  <c:v>Huila</c:v>
                </c:pt>
                <c:pt idx="16">
                  <c:v>Atlántico</c:v>
                </c:pt>
                <c:pt idx="17">
                  <c:v>Bolívar</c:v>
                </c:pt>
                <c:pt idx="18">
                  <c:v>Cesar</c:v>
                </c:pt>
                <c:pt idx="19">
                  <c:v>Meta</c:v>
                </c:pt>
                <c:pt idx="20">
                  <c:v>Sucre</c:v>
                </c:pt>
                <c:pt idx="21">
                  <c:v>La Guajira</c:v>
                </c:pt>
                <c:pt idx="22">
                  <c:v>Quíndio</c:v>
                </c:pt>
                <c:pt idx="23">
                  <c:v>Magdalena</c:v>
                </c:pt>
                <c:pt idx="24">
                  <c:v>Santa Marta</c:v>
                </c:pt>
                <c:pt idx="25">
                  <c:v>Casanare</c:v>
                </c:pt>
                <c:pt idx="26">
                  <c:v>Caquetá</c:v>
                </c:pt>
                <c:pt idx="27">
                  <c:v>Chocó</c:v>
                </c:pt>
                <c:pt idx="28">
                  <c:v>Putumayo</c:v>
                </c:pt>
                <c:pt idx="29">
                  <c:v>Arauca</c:v>
                </c:pt>
                <c:pt idx="30">
                  <c:v>Buenaventura</c:v>
                </c:pt>
                <c:pt idx="31">
                  <c:v>San Andrés y Providencia</c:v>
                </c:pt>
                <c:pt idx="32">
                  <c:v>Amazonas</c:v>
                </c:pt>
                <c:pt idx="33">
                  <c:v>Guaviare</c:v>
                </c:pt>
                <c:pt idx="34">
                  <c:v>Guainía</c:v>
                </c:pt>
                <c:pt idx="35">
                  <c:v>Vichada</c:v>
                </c:pt>
                <c:pt idx="36">
                  <c:v>Vaupés</c:v>
                </c:pt>
              </c:strCache>
            </c:strRef>
          </c:cat>
          <c:val>
            <c:numRef>
              <c:f>'Dosis-cantidad'!$D$2:$D$38</c:f>
              <c:numCache>
                <c:formatCode>General</c:formatCode>
                <c:ptCount val="37"/>
                <c:pt idx="0">
                  <c:v>400150</c:v>
                </c:pt>
                <c:pt idx="1">
                  <c:v>378700</c:v>
                </c:pt>
                <c:pt idx="2">
                  <c:v>132550</c:v>
                </c:pt>
                <c:pt idx="3">
                  <c:v>206850</c:v>
                </c:pt>
                <c:pt idx="4">
                  <c:v>163750</c:v>
                </c:pt>
                <c:pt idx="5">
                  <c:v>63850</c:v>
                </c:pt>
                <c:pt idx="6">
                  <c:v>133700</c:v>
                </c:pt>
                <c:pt idx="7">
                  <c:v>121450</c:v>
                </c:pt>
                <c:pt idx="8">
                  <c:v>135300</c:v>
                </c:pt>
                <c:pt idx="9">
                  <c:v>84650</c:v>
                </c:pt>
                <c:pt idx="10">
                  <c:v>86600</c:v>
                </c:pt>
                <c:pt idx="11">
                  <c:v>59100</c:v>
                </c:pt>
                <c:pt idx="12">
                  <c:v>42000</c:v>
                </c:pt>
                <c:pt idx="13">
                  <c:v>46350</c:v>
                </c:pt>
                <c:pt idx="14">
                  <c:v>81400</c:v>
                </c:pt>
                <c:pt idx="15">
                  <c:v>66750</c:v>
                </c:pt>
                <c:pt idx="16">
                  <c:v>29400</c:v>
                </c:pt>
                <c:pt idx="17">
                  <c:v>58950</c:v>
                </c:pt>
                <c:pt idx="18">
                  <c:v>50100</c:v>
                </c:pt>
                <c:pt idx="19">
                  <c:v>49300</c:v>
                </c:pt>
                <c:pt idx="20">
                  <c:v>68650</c:v>
                </c:pt>
                <c:pt idx="21">
                  <c:v>115400</c:v>
                </c:pt>
                <c:pt idx="22">
                  <c:v>45750</c:v>
                </c:pt>
                <c:pt idx="23">
                  <c:v>79000</c:v>
                </c:pt>
                <c:pt idx="24">
                  <c:v>14100</c:v>
                </c:pt>
                <c:pt idx="25">
                  <c:v>39550</c:v>
                </c:pt>
                <c:pt idx="26">
                  <c:v>27800</c:v>
                </c:pt>
                <c:pt idx="27">
                  <c:v>47048</c:v>
                </c:pt>
                <c:pt idx="28">
                  <c:v>41050</c:v>
                </c:pt>
                <c:pt idx="29">
                  <c:v>27950</c:v>
                </c:pt>
                <c:pt idx="30">
                  <c:v>18900</c:v>
                </c:pt>
                <c:pt idx="32">
                  <c:v>8550</c:v>
                </c:pt>
                <c:pt idx="33">
                  <c:v>12350</c:v>
                </c:pt>
                <c:pt idx="34">
                  <c:v>2950</c:v>
                </c:pt>
                <c:pt idx="35">
                  <c:v>4650</c:v>
                </c:pt>
                <c:pt idx="36">
                  <c:v>2800</c:v>
                </c:pt>
              </c:numCache>
            </c:numRef>
          </c:val>
          <c:extLst>
            <c:ext xmlns:c16="http://schemas.microsoft.com/office/drawing/2014/chart" uri="{C3380CC4-5D6E-409C-BE32-E72D297353CC}">
              <c16:uniqueId val="{00000002-1263-4535-894C-D18F0A66FB6B}"/>
            </c:ext>
          </c:extLst>
        </c:ser>
        <c:dLbls>
          <c:showLegendKey val="0"/>
          <c:showVal val="0"/>
          <c:showCatName val="0"/>
          <c:showSerName val="0"/>
          <c:showPercent val="0"/>
          <c:showBubbleSize val="0"/>
        </c:dLbls>
        <c:gapWidth val="150"/>
        <c:overlap val="100"/>
        <c:axId val="377523888"/>
        <c:axId val="377523232"/>
      </c:barChart>
      <c:catAx>
        <c:axId val="37752388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sz="1100" b="1">
                    <a:solidFill>
                      <a:sysClr val="windowText" lastClr="000000"/>
                    </a:solidFill>
                  </a:rPr>
                  <a:t>Entidades  territoriales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crossAx val="377523232"/>
        <c:crosses val="autoZero"/>
        <c:auto val="1"/>
        <c:lblAlgn val="ctr"/>
        <c:lblOffset val="100"/>
        <c:noMultiLvlLbl val="0"/>
      </c:catAx>
      <c:valAx>
        <c:axId val="37752323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sz="1100" b="1">
                    <a:solidFill>
                      <a:sysClr val="windowText" lastClr="000000"/>
                    </a:solidFill>
                  </a:rPr>
                  <a:t>Dosis aplicadas</a:t>
                </a:r>
              </a:p>
            </c:rich>
          </c:tx>
          <c:layout>
            <c:manualLayout>
              <c:xMode val="edge"/>
              <c:yMode val="edge"/>
              <c:x val="0.53051437330944828"/>
              <c:y val="0.9112291250889293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crossAx val="377523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'Dosis-cantidad'!$M$1</c:f>
              <c:strCache>
                <c:ptCount val="1"/>
                <c:pt idx="0">
                  <c:v>Dosis 1(%)</c:v>
                </c:pt>
              </c:strCache>
            </c:strRef>
          </c:tx>
          <c:spPr>
            <a:ln w="28575" cap="rnd">
              <a:solidFill>
                <a:schemeClr val="accent1"/>
              </a:solidFill>
              <a:round/>
            </a:ln>
            <a:effectLst/>
          </c:spPr>
          <c:marker>
            <c:symbol val="none"/>
          </c:marker>
          <c:cat>
            <c:strRef>
              <c:f>'Dosis-cantidad'!$L$2:$L$38</c:f>
              <c:strCache>
                <c:ptCount val="37"/>
                <c:pt idx="0">
                  <c:v>Guaviare</c:v>
                </c:pt>
                <c:pt idx="1">
                  <c:v>La Guajira</c:v>
                </c:pt>
                <c:pt idx="2">
                  <c:v>Putumayo</c:v>
                </c:pt>
                <c:pt idx="3">
                  <c:v>Chocó</c:v>
                </c:pt>
                <c:pt idx="4">
                  <c:v>Buenaventura</c:v>
                </c:pt>
                <c:pt idx="5">
                  <c:v>Magdalena</c:v>
                </c:pt>
                <c:pt idx="6">
                  <c:v>Vichada</c:v>
                </c:pt>
                <c:pt idx="7">
                  <c:v>Arauca</c:v>
                </c:pt>
                <c:pt idx="8">
                  <c:v>Casanare</c:v>
                </c:pt>
                <c:pt idx="9">
                  <c:v>Nte. Santander</c:v>
                </c:pt>
                <c:pt idx="10">
                  <c:v>Vaupés</c:v>
                </c:pt>
                <c:pt idx="11">
                  <c:v>Nariño</c:v>
                </c:pt>
                <c:pt idx="12">
                  <c:v>Caquetá</c:v>
                </c:pt>
                <c:pt idx="13">
                  <c:v>Boyacá</c:v>
                </c:pt>
                <c:pt idx="14">
                  <c:v>Sucre</c:v>
                </c:pt>
                <c:pt idx="15">
                  <c:v>Cauca</c:v>
                </c:pt>
                <c:pt idx="16">
                  <c:v>Amazonas</c:v>
                </c:pt>
                <c:pt idx="17">
                  <c:v>Guainía</c:v>
                </c:pt>
                <c:pt idx="18">
                  <c:v>Cundinamarca</c:v>
                </c:pt>
                <c:pt idx="19">
                  <c:v>Huila</c:v>
                </c:pt>
                <c:pt idx="20">
                  <c:v>Quíndio</c:v>
                </c:pt>
                <c:pt idx="21">
                  <c:v>Santander</c:v>
                </c:pt>
                <c:pt idx="22">
                  <c:v>Bolívar</c:v>
                </c:pt>
                <c:pt idx="23">
                  <c:v>Tolima</c:v>
                </c:pt>
                <c:pt idx="24">
                  <c:v>Córdoba</c:v>
                </c:pt>
                <c:pt idx="25">
                  <c:v>Meta</c:v>
                </c:pt>
                <c:pt idx="26">
                  <c:v>Cesar</c:v>
                </c:pt>
                <c:pt idx="27">
                  <c:v>Risaralda</c:v>
                </c:pt>
                <c:pt idx="28">
                  <c:v>Antioquia</c:v>
                </c:pt>
                <c:pt idx="29">
                  <c:v>Cartagena</c:v>
                </c:pt>
                <c:pt idx="30">
                  <c:v>Bogotá</c:v>
                </c:pt>
                <c:pt idx="31">
                  <c:v>Barranquilla</c:v>
                </c:pt>
                <c:pt idx="32">
                  <c:v>Caldas</c:v>
                </c:pt>
                <c:pt idx="33">
                  <c:v>Santa Marta</c:v>
                </c:pt>
                <c:pt idx="34">
                  <c:v>Atlántico</c:v>
                </c:pt>
                <c:pt idx="35">
                  <c:v>Valle</c:v>
                </c:pt>
                <c:pt idx="36">
                  <c:v>San Andrés y Providencia</c:v>
                </c:pt>
              </c:strCache>
            </c:strRef>
          </c:cat>
          <c:val>
            <c:numRef>
              <c:f>'Dosis-cantidad'!$M$2:$M$38</c:f>
              <c:numCache>
                <c:formatCode>General</c:formatCode>
                <c:ptCount val="37"/>
                <c:pt idx="0">
                  <c:v>44.9</c:v>
                </c:pt>
                <c:pt idx="1">
                  <c:v>42.01</c:v>
                </c:pt>
                <c:pt idx="2">
                  <c:v>42.98</c:v>
                </c:pt>
                <c:pt idx="3">
                  <c:v>39.049999999999997</c:v>
                </c:pt>
                <c:pt idx="4">
                  <c:v>49.36</c:v>
                </c:pt>
                <c:pt idx="5">
                  <c:v>47.78</c:v>
                </c:pt>
                <c:pt idx="6">
                  <c:v>48.19</c:v>
                </c:pt>
                <c:pt idx="7">
                  <c:v>48.32</c:v>
                </c:pt>
                <c:pt idx="8">
                  <c:v>51.99</c:v>
                </c:pt>
                <c:pt idx="9">
                  <c:v>50.85</c:v>
                </c:pt>
                <c:pt idx="10">
                  <c:v>56</c:v>
                </c:pt>
                <c:pt idx="11">
                  <c:v>51.44</c:v>
                </c:pt>
                <c:pt idx="12">
                  <c:v>49.18</c:v>
                </c:pt>
                <c:pt idx="13">
                  <c:v>53.38</c:v>
                </c:pt>
                <c:pt idx="14">
                  <c:v>50.93</c:v>
                </c:pt>
                <c:pt idx="15">
                  <c:v>54.88</c:v>
                </c:pt>
                <c:pt idx="16">
                  <c:v>55.04</c:v>
                </c:pt>
                <c:pt idx="17">
                  <c:v>46.02</c:v>
                </c:pt>
                <c:pt idx="18">
                  <c:v>53.74</c:v>
                </c:pt>
                <c:pt idx="19">
                  <c:v>54.6</c:v>
                </c:pt>
                <c:pt idx="20">
                  <c:v>52.24</c:v>
                </c:pt>
                <c:pt idx="21">
                  <c:v>53.11</c:v>
                </c:pt>
                <c:pt idx="22">
                  <c:v>55.26</c:v>
                </c:pt>
                <c:pt idx="23">
                  <c:v>54.04</c:v>
                </c:pt>
                <c:pt idx="24">
                  <c:v>52.92</c:v>
                </c:pt>
                <c:pt idx="25">
                  <c:v>54.87</c:v>
                </c:pt>
                <c:pt idx="26">
                  <c:v>54.73</c:v>
                </c:pt>
                <c:pt idx="27">
                  <c:v>51.36</c:v>
                </c:pt>
                <c:pt idx="28">
                  <c:v>54.3</c:v>
                </c:pt>
                <c:pt idx="29">
                  <c:v>54</c:v>
                </c:pt>
                <c:pt idx="30">
                  <c:v>54.23</c:v>
                </c:pt>
                <c:pt idx="31">
                  <c:v>54.38</c:v>
                </c:pt>
                <c:pt idx="32">
                  <c:v>56.72</c:v>
                </c:pt>
                <c:pt idx="33">
                  <c:v>55.05</c:v>
                </c:pt>
                <c:pt idx="34">
                  <c:v>56.75</c:v>
                </c:pt>
                <c:pt idx="35">
                  <c:v>56.75</c:v>
                </c:pt>
                <c:pt idx="36">
                  <c:v>87</c:v>
                </c:pt>
              </c:numCache>
            </c:numRef>
          </c:val>
          <c:smooth val="0"/>
          <c:extLst>
            <c:ext xmlns:c16="http://schemas.microsoft.com/office/drawing/2014/chart" uri="{C3380CC4-5D6E-409C-BE32-E72D297353CC}">
              <c16:uniqueId val="{00000000-7975-4393-BDD2-39064AF94F00}"/>
            </c:ext>
          </c:extLst>
        </c:ser>
        <c:ser>
          <c:idx val="1"/>
          <c:order val="1"/>
          <c:tx>
            <c:strRef>
              <c:f>'Dosis-cantidad'!$N$1</c:f>
              <c:strCache>
                <c:ptCount val="1"/>
                <c:pt idx="0">
                  <c:v>Dosis 2(%)</c:v>
                </c:pt>
              </c:strCache>
            </c:strRef>
          </c:tx>
          <c:spPr>
            <a:ln w="28575" cap="rnd">
              <a:solidFill>
                <a:schemeClr val="accent2"/>
              </a:solidFill>
              <a:round/>
            </a:ln>
            <a:effectLst/>
          </c:spPr>
          <c:marker>
            <c:symbol val="none"/>
          </c:marker>
          <c:cat>
            <c:strRef>
              <c:f>'Dosis-cantidad'!$L$2:$L$38</c:f>
              <c:strCache>
                <c:ptCount val="37"/>
                <c:pt idx="0">
                  <c:v>Guaviare</c:v>
                </c:pt>
                <c:pt idx="1">
                  <c:v>La Guajira</c:v>
                </c:pt>
                <c:pt idx="2">
                  <c:v>Putumayo</c:v>
                </c:pt>
                <c:pt idx="3">
                  <c:v>Chocó</c:v>
                </c:pt>
                <c:pt idx="4">
                  <c:v>Buenaventura</c:v>
                </c:pt>
                <c:pt idx="5">
                  <c:v>Magdalena</c:v>
                </c:pt>
                <c:pt idx="6">
                  <c:v>Vichada</c:v>
                </c:pt>
                <c:pt idx="7">
                  <c:v>Arauca</c:v>
                </c:pt>
                <c:pt idx="8">
                  <c:v>Casanare</c:v>
                </c:pt>
                <c:pt idx="9">
                  <c:v>Nte. Santander</c:v>
                </c:pt>
                <c:pt idx="10">
                  <c:v>Vaupés</c:v>
                </c:pt>
                <c:pt idx="11">
                  <c:v>Nariño</c:v>
                </c:pt>
                <c:pt idx="12">
                  <c:v>Caquetá</c:v>
                </c:pt>
                <c:pt idx="13">
                  <c:v>Boyacá</c:v>
                </c:pt>
                <c:pt idx="14">
                  <c:v>Sucre</c:v>
                </c:pt>
                <c:pt idx="15">
                  <c:v>Cauca</c:v>
                </c:pt>
                <c:pt idx="16">
                  <c:v>Amazonas</c:v>
                </c:pt>
                <c:pt idx="17">
                  <c:v>Guainía</c:v>
                </c:pt>
                <c:pt idx="18">
                  <c:v>Cundinamarca</c:v>
                </c:pt>
                <c:pt idx="19">
                  <c:v>Huila</c:v>
                </c:pt>
                <c:pt idx="20">
                  <c:v>Quíndio</c:v>
                </c:pt>
                <c:pt idx="21">
                  <c:v>Santander</c:v>
                </c:pt>
                <c:pt idx="22">
                  <c:v>Bolívar</c:v>
                </c:pt>
                <c:pt idx="23">
                  <c:v>Tolima</c:v>
                </c:pt>
                <c:pt idx="24">
                  <c:v>Córdoba</c:v>
                </c:pt>
                <c:pt idx="25">
                  <c:v>Meta</c:v>
                </c:pt>
                <c:pt idx="26">
                  <c:v>Cesar</c:v>
                </c:pt>
                <c:pt idx="27">
                  <c:v>Risaralda</c:v>
                </c:pt>
                <c:pt idx="28">
                  <c:v>Antioquia</c:v>
                </c:pt>
                <c:pt idx="29">
                  <c:v>Cartagena</c:v>
                </c:pt>
                <c:pt idx="30">
                  <c:v>Bogotá</c:v>
                </c:pt>
                <c:pt idx="31">
                  <c:v>Barranquilla</c:v>
                </c:pt>
                <c:pt idx="32">
                  <c:v>Caldas</c:v>
                </c:pt>
                <c:pt idx="33">
                  <c:v>Santa Marta</c:v>
                </c:pt>
                <c:pt idx="34">
                  <c:v>Atlántico</c:v>
                </c:pt>
                <c:pt idx="35">
                  <c:v>Valle</c:v>
                </c:pt>
                <c:pt idx="36">
                  <c:v>San Andrés y Providencia</c:v>
                </c:pt>
              </c:strCache>
            </c:strRef>
          </c:cat>
          <c:val>
            <c:numRef>
              <c:f>'Dosis-cantidad'!$N$2:$N$38</c:f>
              <c:numCache>
                <c:formatCode>General</c:formatCode>
                <c:ptCount val="37"/>
                <c:pt idx="0">
                  <c:v>27.56</c:v>
                </c:pt>
                <c:pt idx="1">
                  <c:v>33.54</c:v>
                </c:pt>
                <c:pt idx="2">
                  <c:v>33.51</c:v>
                </c:pt>
                <c:pt idx="3">
                  <c:v>38.32</c:v>
                </c:pt>
                <c:pt idx="4">
                  <c:v>31.37</c:v>
                </c:pt>
                <c:pt idx="5">
                  <c:v>34</c:v>
                </c:pt>
                <c:pt idx="6">
                  <c:v>34.119999999999997</c:v>
                </c:pt>
                <c:pt idx="7">
                  <c:v>34.22</c:v>
                </c:pt>
                <c:pt idx="8">
                  <c:v>32.950000000000003</c:v>
                </c:pt>
                <c:pt idx="9">
                  <c:v>35.1</c:v>
                </c:pt>
                <c:pt idx="10">
                  <c:v>30.22</c:v>
                </c:pt>
                <c:pt idx="11">
                  <c:v>35.08</c:v>
                </c:pt>
                <c:pt idx="12">
                  <c:v>37.96</c:v>
                </c:pt>
                <c:pt idx="13">
                  <c:v>34.270000000000003</c:v>
                </c:pt>
                <c:pt idx="14">
                  <c:v>36.9</c:v>
                </c:pt>
                <c:pt idx="15">
                  <c:v>33.42</c:v>
                </c:pt>
                <c:pt idx="16">
                  <c:v>33.71</c:v>
                </c:pt>
                <c:pt idx="17">
                  <c:v>43.6</c:v>
                </c:pt>
                <c:pt idx="18">
                  <c:v>36.200000000000003</c:v>
                </c:pt>
                <c:pt idx="19">
                  <c:v>35.549999999999997</c:v>
                </c:pt>
                <c:pt idx="20">
                  <c:v>37.99</c:v>
                </c:pt>
                <c:pt idx="21">
                  <c:v>37.24</c:v>
                </c:pt>
                <c:pt idx="22">
                  <c:v>35.159999999999997</c:v>
                </c:pt>
                <c:pt idx="23">
                  <c:v>36.659999999999997</c:v>
                </c:pt>
                <c:pt idx="24">
                  <c:v>38.1</c:v>
                </c:pt>
                <c:pt idx="25">
                  <c:v>36.619999999999997</c:v>
                </c:pt>
                <c:pt idx="26">
                  <c:v>36.979999999999997</c:v>
                </c:pt>
                <c:pt idx="27">
                  <c:v>40.729999999999997</c:v>
                </c:pt>
                <c:pt idx="28">
                  <c:v>38.04</c:v>
                </c:pt>
                <c:pt idx="29">
                  <c:v>39.35</c:v>
                </c:pt>
                <c:pt idx="30">
                  <c:v>39.29</c:v>
                </c:pt>
                <c:pt idx="31">
                  <c:v>39.36</c:v>
                </c:pt>
                <c:pt idx="32">
                  <c:v>37.43</c:v>
                </c:pt>
                <c:pt idx="33">
                  <c:v>40.15</c:v>
                </c:pt>
                <c:pt idx="34">
                  <c:v>38.729999999999997</c:v>
                </c:pt>
                <c:pt idx="35">
                  <c:v>38.74</c:v>
                </c:pt>
                <c:pt idx="36">
                  <c:v>13</c:v>
                </c:pt>
              </c:numCache>
            </c:numRef>
          </c:val>
          <c:smooth val="0"/>
          <c:extLst>
            <c:ext xmlns:c16="http://schemas.microsoft.com/office/drawing/2014/chart" uri="{C3380CC4-5D6E-409C-BE32-E72D297353CC}">
              <c16:uniqueId val="{00000001-7975-4393-BDD2-39064AF94F00}"/>
            </c:ext>
          </c:extLst>
        </c:ser>
        <c:ser>
          <c:idx val="2"/>
          <c:order val="2"/>
          <c:tx>
            <c:strRef>
              <c:f>'Dosis-cantidad'!$O$1</c:f>
              <c:strCache>
                <c:ptCount val="1"/>
                <c:pt idx="0">
                  <c:v>Monodosis(%)</c:v>
                </c:pt>
              </c:strCache>
            </c:strRef>
          </c:tx>
          <c:spPr>
            <a:ln w="28575" cap="rnd">
              <a:solidFill>
                <a:schemeClr val="accent3"/>
              </a:solidFill>
              <a:round/>
            </a:ln>
            <a:effectLst/>
          </c:spPr>
          <c:marker>
            <c:symbol val="none"/>
          </c:marker>
          <c:cat>
            <c:strRef>
              <c:f>'Dosis-cantidad'!$L$2:$L$38</c:f>
              <c:strCache>
                <c:ptCount val="37"/>
                <c:pt idx="0">
                  <c:v>Guaviare</c:v>
                </c:pt>
                <c:pt idx="1">
                  <c:v>La Guajira</c:v>
                </c:pt>
                <c:pt idx="2">
                  <c:v>Putumayo</c:v>
                </c:pt>
                <c:pt idx="3">
                  <c:v>Chocó</c:v>
                </c:pt>
                <c:pt idx="4">
                  <c:v>Buenaventura</c:v>
                </c:pt>
                <c:pt idx="5">
                  <c:v>Magdalena</c:v>
                </c:pt>
                <c:pt idx="6">
                  <c:v>Vichada</c:v>
                </c:pt>
                <c:pt idx="7">
                  <c:v>Arauca</c:v>
                </c:pt>
                <c:pt idx="8">
                  <c:v>Casanare</c:v>
                </c:pt>
                <c:pt idx="9">
                  <c:v>Nte. Santander</c:v>
                </c:pt>
                <c:pt idx="10">
                  <c:v>Vaupés</c:v>
                </c:pt>
                <c:pt idx="11">
                  <c:v>Nariño</c:v>
                </c:pt>
                <c:pt idx="12">
                  <c:v>Caquetá</c:v>
                </c:pt>
                <c:pt idx="13">
                  <c:v>Boyacá</c:v>
                </c:pt>
                <c:pt idx="14">
                  <c:v>Sucre</c:v>
                </c:pt>
                <c:pt idx="15">
                  <c:v>Cauca</c:v>
                </c:pt>
                <c:pt idx="16">
                  <c:v>Amazonas</c:v>
                </c:pt>
                <c:pt idx="17">
                  <c:v>Guainía</c:v>
                </c:pt>
                <c:pt idx="18">
                  <c:v>Cundinamarca</c:v>
                </c:pt>
                <c:pt idx="19">
                  <c:v>Huila</c:v>
                </c:pt>
                <c:pt idx="20">
                  <c:v>Quíndio</c:v>
                </c:pt>
                <c:pt idx="21">
                  <c:v>Santander</c:v>
                </c:pt>
                <c:pt idx="22">
                  <c:v>Bolívar</c:v>
                </c:pt>
                <c:pt idx="23">
                  <c:v>Tolima</c:v>
                </c:pt>
                <c:pt idx="24">
                  <c:v>Córdoba</c:v>
                </c:pt>
                <c:pt idx="25">
                  <c:v>Meta</c:v>
                </c:pt>
                <c:pt idx="26">
                  <c:v>Cesar</c:v>
                </c:pt>
                <c:pt idx="27">
                  <c:v>Risaralda</c:v>
                </c:pt>
                <c:pt idx="28">
                  <c:v>Antioquia</c:v>
                </c:pt>
                <c:pt idx="29">
                  <c:v>Cartagena</c:v>
                </c:pt>
                <c:pt idx="30">
                  <c:v>Bogotá</c:v>
                </c:pt>
                <c:pt idx="31">
                  <c:v>Barranquilla</c:v>
                </c:pt>
                <c:pt idx="32">
                  <c:v>Caldas</c:v>
                </c:pt>
                <c:pt idx="33">
                  <c:v>Santa Marta</c:v>
                </c:pt>
                <c:pt idx="34">
                  <c:v>Atlántico</c:v>
                </c:pt>
                <c:pt idx="35">
                  <c:v>Valle</c:v>
                </c:pt>
                <c:pt idx="36">
                  <c:v>San Andrés y Providencia</c:v>
                </c:pt>
              </c:strCache>
            </c:strRef>
          </c:cat>
          <c:val>
            <c:numRef>
              <c:f>'Dosis-cantidad'!$O$2:$O$38</c:f>
              <c:numCache>
                <c:formatCode>General</c:formatCode>
                <c:ptCount val="37"/>
                <c:pt idx="0">
                  <c:v>27.54</c:v>
                </c:pt>
                <c:pt idx="1">
                  <c:v>24.45</c:v>
                </c:pt>
                <c:pt idx="2">
                  <c:v>23.52</c:v>
                </c:pt>
                <c:pt idx="3">
                  <c:v>22.63</c:v>
                </c:pt>
                <c:pt idx="4">
                  <c:v>19.27</c:v>
                </c:pt>
                <c:pt idx="5">
                  <c:v>18.23</c:v>
                </c:pt>
                <c:pt idx="6">
                  <c:v>17.690000000000001</c:v>
                </c:pt>
                <c:pt idx="7">
                  <c:v>17.46</c:v>
                </c:pt>
                <c:pt idx="8">
                  <c:v>15.06</c:v>
                </c:pt>
                <c:pt idx="9">
                  <c:v>14.05</c:v>
                </c:pt>
                <c:pt idx="10">
                  <c:v>13.77</c:v>
                </c:pt>
                <c:pt idx="11">
                  <c:v>13.49</c:v>
                </c:pt>
                <c:pt idx="12">
                  <c:v>12.85</c:v>
                </c:pt>
                <c:pt idx="13">
                  <c:v>12.34</c:v>
                </c:pt>
                <c:pt idx="14">
                  <c:v>12.17</c:v>
                </c:pt>
                <c:pt idx="15">
                  <c:v>11.7</c:v>
                </c:pt>
                <c:pt idx="16">
                  <c:v>11.24</c:v>
                </c:pt>
                <c:pt idx="17">
                  <c:v>10.37</c:v>
                </c:pt>
                <c:pt idx="18">
                  <c:v>10.06</c:v>
                </c:pt>
                <c:pt idx="19">
                  <c:v>9.85</c:v>
                </c:pt>
                <c:pt idx="20">
                  <c:v>9.76</c:v>
                </c:pt>
                <c:pt idx="21">
                  <c:v>9.66</c:v>
                </c:pt>
                <c:pt idx="22">
                  <c:v>9.58</c:v>
                </c:pt>
                <c:pt idx="23">
                  <c:v>9.3000000000000007</c:v>
                </c:pt>
                <c:pt idx="24">
                  <c:v>8.98</c:v>
                </c:pt>
                <c:pt idx="25">
                  <c:v>8.51</c:v>
                </c:pt>
                <c:pt idx="26">
                  <c:v>8.2899999999999991</c:v>
                </c:pt>
                <c:pt idx="27">
                  <c:v>7.91</c:v>
                </c:pt>
                <c:pt idx="28">
                  <c:v>7.66</c:v>
                </c:pt>
                <c:pt idx="29">
                  <c:v>6.65</c:v>
                </c:pt>
                <c:pt idx="30">
                  <c:v>6.49</c:v>
                </c:pt>
                <c:pt idx="31">
                  <c:v>6.26</c:v>
                </c:pt>
                <c:pt idx="32">
                  <c:v>5.86</c:v>
                </c:pt>
                <c:pt idx="33">
                  <c:v>4.8</c:v>
                </c:pt>
                <c:pt idx="34">
                  <c:v>4.5199999999999996</c:v>
                </c:pt>
                <c:pt idx="35">
                  <c:v>4.51</c:v>
                </c:pt>
                <c:pt idx="36">
                  <c:v>0</c:v>
                </c:pt>
              </c:numCache>
            </c:numRef>
          </c:val>
          <c:smooth val="0"/>
          <c:extLst>
            <c:ext xmlns:c16="http://schemas.microsoft.com/office/drawing/2014/chart" uri="{C3380CC4-5D6E-409C-BE32-E72D297353CC}">
              <c16:uniqueId val="{00000002-7975-4393-BDD2-39064AF94F00}"/>
            </c:ext>
          </c:extLst>
        </c:ser>
        <c:dLbls>
          <c:showLegendKey val="0"/>
          <c:showVal val="0"/>
          <c:showCatName val="0"/>
          <c:showSerName val="0"/>
          <c:showPercent val="0"/>
          <c:showBubbleSize val="0"/>
        </c:dLbls>
        <c:smooth val="0"/>
        <c:axId val="647395088"/>
        <c:axId val="647395416"/>
      </c:lineChart>
      <c:catAx>
        <c:axId val="64739508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s-CO" sz="1100" b="1">
                    <a:solidFill>
                      <a:sysClr val="windowText" lastClr="000000"/>
                    </a:solidFill>
                  </a:rPr>
                  <a:t>Entidades territoriales</a:t>
                </a:r>
              </a:p>
            </c:rich>
          </c:tx>
          <c:layout>
            <c:manualLayout>
              <c:xMode val="edge"/>
              <c:yMode val="edge"/>
              <c:x val="0.4413769921592412"/>
              <c:y val="0.7963240127838853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s-CO"/>
          </a:p>
        </c:txPr>
        <c:crossAx val="647395416"/>
        <c:crosses val="autoZero"/>
        <c:auto val="1"/>
        <c:lblAlgn val="ctr"/>
        <c:lblOffset val="100"/>
        <c:noMultiLvlLbl val="0"/>
      </c:catAx>
      <c:valAx>
        <c:axId val="6473954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sz="1100" b="1">
                    <a:solidFill>
                      <a:sysClr val="windowText" lastClr="000000"/>
                    </a:solidFill>
                  </a:rPr>
                  <a:t>Porcentajes</a:t>
                </a:r>
              </a:p>
            </c:rich>
          </c:tx>
          <c:layout>
            <c:manualLayout>
              <c:xMode val="edge"/>
              <c:yMode val="edge"/>
              <c:x val="4.7065132566044386E-4"/>
              <c:y val="0.1754828066664737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crossAx val="647395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'Vacunas-Grupo etario'!$AB$1</c:f>
              <c:strCache>
                <c:ptCount val="1"/>
                <c:pt idx="0">
                  <c:v>Masculino</c:v>
                </c:pt>
              </c:strCache>
            </c:strRef>
          </c:tx>
          <c:spPr>
            <a:solidFill>
              <a:schemeClr val="accent1"/>
            </a:solidFill>
            <a:ln>
              <a:noFill/>
            </a:ln>
            <a:effectLst/>
          </c:spPr>
          <c:invertIfNegative val="0"/>
          <c:cat>
            <c:strRef>
              <c:f>'Vacunas-Grupo etario'!$AA$2:$AA$38</c:f>
              <c:strCache>
                <c:ptCount val="37"/>
                <c:pt idx="0">
                  <c:v>Bogotá</c:v>
                </c:pt>
                <c:pt idx="1">
                  <c:v>Antioquia</c:v>
                </c:pt>
                <c:pt idx="2">
                  <c:v>Valle</c:v>
                </c:pt>
                <c:pt idx="3">
                  <c:v>Cundinamarca</c:v>
                </c:pt>
                <c:pt idx="4">
                  <c:v>Santander</c:v>
                </c:pt>
                <c:pt idx="5">
                  <c:v>Barranquilla</c:v>
                </c:pt>
                <c:pt idx="6">
                  <c:v>Nariño</c:v>
                </c:pt>
                <c:pt idx="7">
                  <c:v>Boyacá</c:v>
                </c:pt>
                <c:pt idx="8">
                  <c:v>Nte. Santander</c:v>
                </c:pt>
                <c:pt idx="9">
                  <c:v>Córdoba</c:v>
                </c:pt>
                <c:pt idx="10">
                  <c:v>Tolima</c:v>
                </c:pt>
                <c:pt idx="11">
                  <c:v>Risaralda</c:v>
                </c:pt>
                <c:pt idx="12">
                  <c:v>Caldas</c:v>
                </c:pt>
                <c:pt idx="13">
                  <c:v>Cartagena</c:v>
                </c:pt>
                <c:pt idx="14">
                  <c:v>Cauca</c:v>
                </c:pt>
                <c:pt idx="15">
                  <c:v>Huila</c:v>
                </c:pt>
                <c:pt idx="16">
                  <c:v>Atlántico</c:v>
                </c:pt>
                <c:pt idx="17">
                  <c:v>Bolívar</c:v>
                </c:pt>
                <c:pt idx="18">
                  <c:v>Cesar</c:v>
                </c:pt>
                <c:pt idx="19">
                  <c:v>Meta</c:v>
                </c:pt>
                <c:pt idx="20">
                  <c:v>Sucre</c:v>
                </c:pt>
                <c:pt idx="21">
                  <c:v>La Guajira</c:v>
                </c:pt>
                <c:pt idx="22">
                  <c:v>Quíndio</c:v>
                </c:pt>
                <c:pt idx="23">
                  <c:v>Magdalena</c:v>
                </c:pt>
                <c:pt idx="24">
                  <c:v>Santa Marta</c:v>
                </c:pt>
                <c:pt idx="25">
                  <c:v>Casanare</c:v>
                </c:pt>
                <c:pt idx="26">
                  <c:v>Caquetá</c:v>
                </c:pt>
                <c:pt idx="27">
                  <c:v>Chocó</c:v>
                </c:pt>
                <c:pt idx="28">
                  <c:v>Putumayo</c:v>
                </c:pt>
                <c:pt idx="29">
                  <c:v>Arauca</c:v>
                </c:pt>
                <c:pt idx="30">
                  <c:v>Buenaventura</c:v>
                </c:pt>
                <c:pt idx="31">
                  <c:v>San Andrés y Providencia</c:v>
                </c:pt>
                <c:pt idx="32">
                  <c:v>Amazonas</c:v>
                </c:pt>
                <c:pt idx="33">
                  <c:v>Guaviare</c:v>
                </c:pt>
                <c:pt idx="34">
                  <c:v>Guainía</c:v>
                </c:pt>
                <c:pt idx="35">
                  <c:v>Vichada</c:v>
                </c:pt>
                <c:pt idx="36">
                  <c:v>Vaupés</c:v>
                </c:pt>
              </c:strCache>
            </c:strRef>
          </c:cat>
          <c:val>
            <c:numRef>
              <c:f>'Vacunas-Grupo etario'!$AB$2:$AB$38</c:f>
              <c:numCache>
                <c:formatCode>General</c:formatCode>
                <c:ptCount val="37"/>
                <c:pt idx="0">
                  <c:v>741163</c:v>
                </c:pt>
                <c:pt idx="1">
                  <c:v>478826</c:v>
                </c:pt>
                <c:pt idx="2">
                  <c:v>335244</c:v>
                </c:pt>
                <c:pt idx="3">
                  <c:v>124945</c:v>
                </c:pt>
                <c:pt idx="4">
                  <c:v>230000</c:v>
                </c:pt>
                <c:pt idx="5">
                  <c:v>134603</c:v>
                </c:pt>
                <c:pt idx="6">
                  <c:v>144832</c:v>
                </c:pt>
                <c:pt idx="7">
                  <c:v>133939</c:v>
                </c:pt>
                <c:pt idx="8">
                  <c:v>147736</c:v>
                </c:pt>
                <c:pt idx="9">
                  <c:v>108015</c:v>
                </c:pt>
                <c:pt idx="10">
                  <c:v>145717</c:v>
                </c:pt>
                <c:pt idx="11">
                  <c:v>83017</c:v>
                </c:pt>
                <c:pt idx="12">
                  <c:v>74333</c:v>
                </c:pt>
                <c:pt idx="13">
                  <c:v>65698</c:v>
                </c:pt>
                <c:pt idx="14">
                  <c:v>72817</c:v>
                </c:pt>
                <c:pt idx="15">
                  <c:v>79755</c:v>
                </c:pt>
                <c:pt idx="16">
                  <c:v>87580</c:v>
                </c:pt>
                <c:pt idx="17">
                  <c:v>78304</c:v>
                </c:pt>
                <c:pt idx="18">
                  <c:v>89999</c:v>
                </c:pt>
                <c:pt idx="19">
                  <c:v>79814</c:v>
                </c:pt>
                <c:pt idx="20">
                  <c:v>50481</c:v>
                </c:pt>
                <c:pt idx="21">
                  <c:v>28579</c:v>
                </c:pt>
                <c:pt idx="22">
                  <c:v>71752</c:v>
                </c:pt>
                <c:pt idx="23">
                  <c:v>49535</c:v>
                </c:pt>
                <c:pt idx="24">
                  <c:v>46984</c:v>
                </c:pt>
                <c:pt idx="25">
                  <c:v>37025</c:v>
                </c:pt>
                <c:pt idx="26">
                  <c:v>34535</c:v>
                </c:pt>
                <c:pt idx="27">
                  <c:v>15540</c:v>
                </c:pt>
                <c:pt idx="28">
                  <c:v>20064</c:v>
                </c:pt>
                <c:pt idx="29">
                  <c:v>18880</c:v>
                </c:pt>
                <c:pt idx="30">
                  <c:v>7831</c:v>
                </c:pt>
                <c:pt idx="31">
                  <c:v>10042</c:v>
                </c:pt>
                <c:pt idx="32">
                  <c:v>12409</c:v>
                </c:pt>
                <c:pt idx="33">
                  <c:v>6242</c:v>
                </c:pt>
                <c:pt idx="34">
                  <c:v>4087</c:v>
                </c:pt>
                <c:pt idx="35">
                  <c:v>2573</c:v>
                </c:pt>
                <c:pt idx="36">
                  <c:v>2901</c:v>
                </c:pt>
              </c:numCache>
            </c:numRef>
          </c:val>
          <c:extLst>
            <c:ext xmlns:c16="http://schemas.microsoft.com/office/drawing/2014/chart" uri="{C3380CC4-5D6E-409C-BE32-E72D297353CC}">
              <c16:uniqueId val="{00000000-06D3-4DE4-AE3E-1DAC0C7382CD}"/>
            </c:ext>
          </c:extLst>
        </c:ser>
        <c:ser>
          <c:idx val="1"/>
          <c:order val="1"/>
          <c:tx>
            <c:strRef>
              <c:f>'Vacunas-Grupo etario'!$AC$1</c:f>
              <c:strCache>
                <c:ptCount val="1"/>
                <c:pt idx="0">
                  <c:v>Femenino</c:v>
                </c:pt>
              </c:strCache>
            </c:strRef>
          </c:tx>
          <c:spPr>
            <a:solidFill>
              <a:schemeClr val="accent2"/>
            </a:solidFill>
            <a:ln>
              <a:noFill/>
            </a:ln>
            <a:effectLst/>
          </c:spPr>
          <c:invertIfNegative val="0"/>
          <c:cat>
            <c:strRef>
              <c:f>'Vacunas-Grupo etario'!$AA$2:$AA$38</c:f>
              <c:strCache>
                <c:ptCount val="37"/>
                <c:pt idx="0">
                  <c:v>Bogotá</c:v>
                </c:pt>
                <c:pt idx="1">
                  <c:v>Antioquia</c:v>
                </c:pt>
                <c:pt idx="2">
                  <c:v>Valle</c:v>
                </c:pt>
                <c:pt idx="3">
                  <c:v>Cundinamarca</c:v>
                </c:pt>
                <c:pt idx="4">
                  <c:v>Santander</c:v>
                </c:pt>
                <c:pt idx="5">
                  <c:v>Barranquilla</c:v>
                </c:pt>
                <c:pt idx="6">
                  <c:v>Nariño</c:v>
                </c:pt>
                <c:pt idx="7">
                  <c:v>Boyacá</c:v>
                </c:pt>
                <c:pt idx="8">
                  <c:v>Nte. Santander</c:v>
                </c:pt>
                <c:pt idx="9">
                  <c:v>Córdoba</c:v>
                </c:pt>
                <c:pt idx="10">
                  <c:v>Tolima</c:v>
                </c:pt>
                <c:pt idx="11">
                  <c:v>Risaralda</c:v>
                </c:pt>
                <c:pt idx="12">
                  <c:v>Caldas</c:v>
                </c:pt>
                <c:pt idx="13">
                  <c:v>Cartagena</c:v>
                </c:pt>
                <c:pt idx="14">
                  <c:v>Cauca</c:v>
                </c:pt>
                <c:pt idx="15">
                  <c:v>Huila</c:v>
                </c:pt>
                <c:pt idx="16">
                  <c:v>Atlántico</c:v>
                </c:pt>
                <c:pt idx="17">
                  <c:v>Bolívar</c:v>
                </c:pt>
                <c:pt idx="18">
                  <c:v>Cesar</c:v>
                </c:pt>
                <c:pt idx="19">
                  <c:v>Meta</c:v>
                </c:pt>
                <c:pt idx="20">
                  <c:v>Sucre</c:v>
                </c:pt>
                <c:pt idx="21">
                  <c:v>La Guajira</c:v>
                </c:pt>
                <c:pt idx="22">
                  <c:v>Quíndio</c:v>
                </c:pt>
                <c:pt idx="23">
                  <c:v>Magdalena</c:v>
                </c:pt>
                <c:pt idx="24">
                  <c:v>Santa Marta</c:v>
                </c:pt>
                <c:pt idx="25">
                  <c:v>Casanare</c:v>
                </c:pt>
                <c:pt idx="26">
                  <c:v>Caquetá</c:v>
                </c:pt>
                <c:pt idx="27">
                  <c:v>Chocó</c:v>
                </c:pt>
                <c:pt idx="28">
                  <c:v>Putumayo</c:v>
                </c:pt>
                <c:pt idx="29">
                  <c:v>Arauca</c:v>
                </c:pt>
                <c:pt idx="30">
                  <c:v>Buenaventura</c:v>
                </c:pt>
                <c:pt idx="31">
                  <c:v>San Andrés y Providencia</c:v>
                </c:pt>
                <c:pt idx="32">
                  <c:v>Amazonas</c:v>
                </c:pt>
                <c:pt idx="33">
                  <c:v>Guaviare</c:v>
                </c:pt>
                <c:pt idx="34">
                  <c:v>Guainía</c:v>
                </c:pt>
                <c:pt idx="35">
                  <c:v>Vichada</c:v>
                </c:pt>
                <c:pt idx="36">
                  <c:v>Vaupés</c:v>
                </c:pt>
              </c:strCache>
            </c:strRef>
          </c:cat>
          <c:val>
            <c:numRef>
              <c:f>'Vacunas-Grupo etario'!$AC$2:$AC$38</c:f>
              <c:numCache>
                <c:formatCode>General</c:formatCode>
                <c:ptCount val="37"/>
                <c:pt idx="0">
                  <c:v>986281</c:v>
                </c:pt>
                <c:pt idx="1">
                  <c:v>621449</c:v>
                </c:pt>
                <c:pt idx="2">
                  <c:v>430888</c:v>
                </c:pt>
                <c:pt idx="3">
                  <c:v>160830</c:v>
                </c:pt>
                <c:pt idx="4">
                  <c:v>280054</c:v>
                </c:pt>
                <c:pt idx="5">
                  <c:v>171203</c:v>
                </c:pt>
                <c:pt idx="6">
                  <c:v>178347</c:v>
                </c:pt>
                <c:pt idx="7">
                  <c:v>163834</c:v>
                </c:pt>
                <c:pt idx="8">
                  <c:v>181069</c:v>
                </c:pt>
                <c:pt idx="9">
                  <c:v>122822</c:v>
                </c:pt>
                <c:pt idx="10">
                  <c:v>167368</c:v>
                </c:pt>
                <c:pt idx="11">
                  <c:v>104477</c:v>
                </c:pt>
                <c:pt idx="12">
                  <c:v>93353</c:v>
                </c:pt>
                <c:pt idx="13">
                  <c:v>85952</c:v>
                </c:pt>
                <c:pt idx="14">
                  <c:v>88018</c:v>
                </c:pt>
                <c:pt idx="15">
                  <c:v>90765</c:v>
                </c:pt>
                <c:pt idx="16">
                  <c:v>107002</c:v>
                </c:pt>
                <c:pt idx="17">
                  <c:v>84290</c:v>
                </c:pt>
                <c:pt idx="18">
                  <c:v>106631</c:v>
                </c:pt>
                <c:pt idx="19">
                  <c:v>89054</c:v>
                </c:pt>
                <c:pt idx="20">
                  <c:v>56457</c:v>
                </c:pt>
                <c:pt idx="21">
                  <c:v>36194</c:v>
                </c:pt>
                <c:pt idx="22">
                  <c:v>89953</c:v>
                </c:pt>
                <c:pt idx="23">
                  <c:v>53650</c:v>
                </c:pt>
                <c:pt idx="24">
                  <c:v>61286</c:v>
                </c:pt>
                <c:pt idx="25">
                  <c:v>38312</c:v>
                </c:pt>
                <c:pt idx="26">
                  <c:v>35266</c:v>
                </c:pt>
                <c:pt idx="27">
                  <c:v>19505</c:v>
                </c:pt>
                <c:pt idx="28">
                  <c:v>20995</c:v>
                </c:pt>
                <c:pt idx="29">
                  <c:v>20230</c:v>
                </c:pt>
                <c:pt idx="30">
                  <c:v>7911</c:v>
                </c:pt>
                <c:pt idx="31">
                  <c:v>11268</c:v>
                </c:pt>
                <c:pt idx="32">
                  <c:v>13092</c:v>
                </c:pt>
                <c:pt idx="33">
                  <c:v>8414</c:v>
                </c:pt>
                <c:pt idx="34">
                  <c:v>4577</c:v>
                </c:pt>
                <c:pt idx="35">
                  <c:v>1653</c:v>
                </c:pt>
                <c:pt idx="36">
                  <c:v>2507</c:v>
                </c:pt>
              </c:numCache>
            </c:numRef>
          </c:val>
          <c:extLst>
            <c:ext xmlns:c16="http://schemas.microsoft.com/office/drawing/2014/chart" uri="{C3380CC4-5D6E-409C-BE32-E72D297353CC}">
              <c16:uniqueId val="{00000001-06D3-4DE4-AE3E-1DAC0C7382CD}"/>
            </c:ext>
          </c:extLst>
        </c:ser>
        <c:ser>
          <c:idx val="2"/>
          <c:order val="2"/>
          <c:tx>
            <c:strRef>
              <c:f>'Vacunas-Grupo etario'!$AD$1</c:f>
              <c:strCache>
                <c:ptCount val="1"/>
                <c:pt idx="0">
                  <c:v>No reportado</c:v>
                </c:pt>
              </c:strCache>
            </c:strRef>
          </c:tx>
          <c:spPr>
            <a:solidFill>
              <a:schemeClr val="accent3"/>
            </a:solidFill>
            <a:ln>
              <a:noFill/>
            </a:ln>
            <a:effectLst/>
          </c:spPr>
          <c:invertIfNegative val="0"/>
          <c:cat>
            <c:strRef>
              <c:f>'Vacunas-Grupo etario'!$AA$2:$AA$38</c:f>
              <c:strCache>
                <c:ptCount val="37"/>
                <c:pt idx="0">
                  <c:v>Bogotá</c:v>
                </c:pt>
                <c:pt idx="1">
                  <c:v>Antioquia</c:v>
                </c:pt>
                <c:pt idx="2">
                  <c:v>Valle</c:v>
                </c:pt>
                <c:pt idx="3">
                  <c:v>Cundinamarca</c:v>
                </c:pt>
                <c:pt idx="4">
                  <c:v>Santander</c:v>
                </c:pt>
                <c:pt idx="5">
                  <c:v>Barranquilla</c:v>
                </c:pt>
                <c:pt idx="6">
                  <c:v>Nariño</c:v>
                </c:pt>
                <c:pt idx="7">
                  <c:v>Boyacá</c:v>
                </c:pt>
                <c:pt idx="8">
                  <c:v>Nte. Santander</c:v>
                </c:pt>
                <c:pt idx="9">
                  <c:v>Córdoba</c:v>
                </c:pt>
                <c:pt idx="10">
                  <c:v>Tolima</c:v>
                </c:pt>
                <c:pt idx="11">
                  <c:v>Risaralda</c:v>
                </c:pt>
                <c:pt idx="12">
                  <c:v>Caldas</c:v>
                </c:pt>
                <c:pt idx="13">
                  <c:v>Cartagena</c:v>
                </c:pt>
                <c:pt idx="14">
                  <c:v>Cauca</c:v>
                </c:pt>
                <c:pt idx="15">
                  <c:v>Huila</c:v>
                </c:pt>
                <c:pt idx="16">
                  <c:v>Atlántico</c:v>
                </c:pt>
                <c:pt idx="17">
                  <c:v>Bolívar</c:v>
                </c:pt>
                <c:pt idx="18">
                  <c:v>Cesar</c:v>
                </c:pt>
                <c:pt idx="19">
                  <c:v>Meta</c:v>
                </c:pt>
                <c:pt idx="20">
                  <c:v>Sucre</c:v>
                </c:pt>
                <c:pt idx="21">
                  <c:v>La Guajira</c:v>
                </c:pt>
                <c:pt idx="22">
                  <c:v>Quíndio</c:v>
                </c:pt>
                <c:pt idx="23">
                  <c:v>Magdalena</c:v>
                </c:pt>
                <c:pt idx="24">
                  <c:v>Santa Marta</c:v>
                </c:pt>
                <c:pt idx="25">
                  <c:v>Casanare</c:v>
                </c:pt>
                <c:pt idx="26">
                  <c:v>Caquetá</c:v>
                </c:pt>
                <c:pt idx="27">
                  <c:v>Chocó</c:v>
                </c:pt>
                <c:pt idx="28">
                  <c:v>Putumayo</c:v>
                </c:pt>
                <c:pt idx="29">
                  <c:v>Arauca</c:v>
                </c:pt>
                <c:pt idx="30">
                  <c:v>Buenaventura</c:v>
                </c:pt>
                <c:pt idx="31">
                  <c:v>San Andrés y Providencia</c:v>
                </c:pt>
                <c:pt idx="32">
                  <c:v>Amazonas</c:v>
                </c:pt>
                <c:pt idx="33">
                  <c:v>Guaviare</c:v>
                </c:pt>
                <c:pt idx="34">
                  <c:v>Guainía</c:v>
                </c:pt>
                <c:pt idx="35">
                  <c:v>Vichada</c:v>
                </c:pt>
                <c:pt idx="36">
                  <c:v>Vaupés</c:v>
                </c:pt>
              </c:strCache>
            </c:strRef>
          </c:cat>
          <c:val>
            <c:numRef>
              <c:f>'Vacunas-Grupo etario'!$AD$2:$AD$38</c:f>
              <c:numCache>
                <c:formatCode>General</c:formatCode>
                <c:ptCount val="37"/>
                <c:pt idx="0">
                  <c:v>113541</c:v>
                </c:pt>
                <c:pt idx="1">
                  <c:v>67572</c:v>
                </c:pt>
                <c:pt idx="2">
                  <c:v>32266</c:v>
                </c:pt>
                <c:pt idx="3">
                  <c:v>11715</c:v>
                </c:pt>
                <c:pt idx="4">
                  <c:v>58956</c:v>
                </c:pt>
                <c:pt idx="5">
                  <c:v>14053</c:v>
                </c:pt>
                <c:pt idx="6">
                  <c:v>41944</c:v>
                </c:pt>
                <c:pt idx="7">
                  <c:v>37033</c:v>
                </c:pt>
                <c:pt idx="8">
                  <c:v>36787</c:v>
                </c:pt>
                <c:pt idx="9">
                  <c:v>20377</c:v>
                </c:pt>
                <c:pt idx="10">
                  <c:v>25755</c:v>
                </c:pt>
                <c:pt idx="11">
                  <c:v>15087</c:v>
                </c:pt>
                <c:pt idx="12">
                  <c:v>4253</c:v>
                </c:pt>
                <c:pt idx="13">
                  <c:v>9319</c:v>
                </c:pt>
                <c:pt idx="14">
                  <c:v>13883</c:v>
                </c:pt>
                <c:pt idx="15">
                  <c:v>19531</c:v>
                </c:pt>
                <c:pt idx="16">
                  <c:v>12919</c:v>
                </c:pt>
                <c:pt idx="17">
                  <c:v>23538</c:v>
                </c:pt>
                <c:pt idx="18">
                  <c:v>12638</c:v>
                </c:pt>
                <c:pt idx="19">
                  <c:v>8618</c:v>
                </c:pt>
                <c:pt idx="20">
                  <c:v>8163</c:v>
                </c:pt>
                <c:pt idx="21">
                  <c:v>8380</c:v>
                </c:pt>
                <c:pt idx="22">
                  <c:v>14076</c:v>
                </c:pt>
                <c:pt idx="23">
                  <c:v>19058</c:v>
                </c:pt>
                <c:pt idx="24">
                  <c:v>4502</c:v>
                </c:pt>
                <c:pt idx="25">
                  <c:v>9066</c:v>
                </c:pt>
                <c:pt idx="26">
                  <c:v>9977</c:v>
                </c:pt>
                <c:pt idx="27">
                  <c:v>4359</c:v>
                </c:pt>
                <c:pt idx="28">
                  <c:v>4311</c:v>
                </c:pt>
                <c:pt idx="29">
                  <c:v>4528</c:v>
                </c:pt>
                <c:pt idx="30">
                  <c:v>347</c:v>
                </c:pt>
                <c:pt idx="31">
                  <c:v>735</c:v>
                </c:pt>
                <c:pt idx="32">
                  <c:v>817</c:v>
                </c:pt>
                <c:pt idx="33">
                  <c:v>954</c:v>
                </c:pt>
                <c:pt idx="34">
                  <c:v>682</c:v>
                </c:pt>
                <c:pt idx="35">
                  <c:v>251</c:v>
                </c:pt>
                <c:pt idx="36">
                  <c:v>209</c:v>
                </c:pt>
              </c:numCache>
            </c:numRef>
          </c:val>
          <c:extLst>
            <c:ext xmlns:c16="http://schemas.microsoft.com/office/drawing/2014/chart" uri="{C3380CC4-5D6E-409C-BE32-E72D297353CC}">
              <c16:uniqueId val="{00000002-06D3-4DE4-AE3E-1DAC0C7382CD}"/>
            </c:ext>
          </c:extLst>
        </c:ser>
        <c:dLbls>
          <c:showLegendKey val="0"/>
          <c:showVal val="0"/>
          <c:showCatName val="0"/>
          <c:showSerName val="0"/>
          <c:showPercent val="0"/>
          <c:showBubbleSize val="0"/>
        </c:dLbls>
        <c:gapWidth val="150"/>
        <c:overlap val="100"/>
        <c:axId val="393339240"/>
        <c:axId val="393338584"/>
      </c:barChart>
      <c:catAx>
        <c:axId val="393339240"/>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s-CO" sz="1100" b="1">
                    <a:solidFill>
                      <a:sysClr val="windowText" lastClr="000000"/>
                    </a:solidFill>
                  </a:rPr>
                  <a:t>Entidades </a:t>
                </a:r>
                <a:r>
                  <a:rPr lang="es-CO" sz="1100" b="1" baseline="0">
                    <a:solidFill>
                      <a:sysClr val="windowText" lastClr="000000"/>
                    </a:solidFill>
                  </a:rPr>
                  <a:t>  territoriales</a:t>
                </a:r>
                <a:endParaRPr lang="es-CO" sz="1100" b="1">
                  <a:solidFill>
                    <a:sysClr val="windowText" lastClr="000000"/>
                  </a:solidFill>
                </a:endParaRP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crossAx val="393338584"/>
        <c:crosses val="autoZero"/>
        <c:auto val="1"/>
        <c:lblAlgn val="ctr"/>
        <c:lblOffset val="100"/>
        <c:noMultiLvlLbl val="0"/>
      </c:catAx>
      <c:valAx>
        <c:axId val="39333858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en-US" sz="1100" b="1">
                    <a:solidFill>
                      <a:sysClr val="windowText" lastClr="000000"/>
                    </a:solidFill>
                  </a:rPr>
                  <a:t>Esquemas completos por sexo</a:t>
                </a:r>
              </a:p>
            </c:rich>
          </c:tx>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s-C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crossAx val="393339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DD2-4450-8862-4A1FB5140B7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DD2-4450-8862-4A1FB5140B7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DD2-4450-8862-4A1FB5140B72}"/>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'Vacunas-Grupo etario'!$AA$41:$AA$43</c:f>
              <c:strCache>
                <c:ptCount val="3"/>
                <c:pt idx="0">
                  <c:v>Masculino</c:v>
                </c:pt>
                <c:pt idx="1">
                  <c:v>Femenino</c:v>
                </c:pt>
                <c:pt idx="2">
                  <c:v>No reportado</c:v>
                </c:pt>
              </c:strCache>
            </c:strRef>
          </c:cat>
          <c:val>
            <c:numRef>
              <c:f>'Vacunas-Grupo etario'!$AB$41:$AB$43</c:f>
              <c:numCache>
                <c:formatCode>General</c:formatCode>
                <c:ptCount val="3"/>
                <c:pt idx="0">
                  <c:v>3855797</c:v>
                </c:pt>
                <c:pt idx="1">
                  <c:v>4794957</c:v>
                </c:pt>
                <c:pt idx="2">
                  <c:v>670200</c:v>
                </c:pt>
              </c:numCache>
            </c:numRef>
          </c:val>
          <c:extLst>
            <c:ext xmlns:c16="http://schemas.microsoft.com/office/drawing/2014/chart" uri="{C3380CC4-5D6E-409C-BE32-E72D297353CC}">
              <c16:uniqueId val="{00000006-9DD2-4450-8862-4A1FB5140B7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'Dosis aplicadas'!$I$1</c:f>
              <c:strCache>
                <c:ptCount val="1"/>
                <c:pt idx="0">
                  <c:v>Dosis asignadas</c:v>
                </c:pt>
              </c:strCache>
            </c:strRef>
          </c:tx>
          <c:spPr>
            <a:solidFill>
              <a:schemeClr val="accent1"/>
            </a:solidFill>
            <a:ln>
              <a:noFill/>
            </a:ln>
            <a:effectLst/>
          </c:spPr>
          <c:invertIfNegative val="0"/>
          <c:cat>
            <c:strRef>
              <c:f>'Dosis aplicadas'!$H$2:$H$38</c:f>
              <c:strCache>
                <c:ptCount val="37"/>
                <c:pt idx="0">
                  <c:v>Bogotá</c:v>
                </c:pt>
                <c:pt idx="1">
                  <c:v>Antioquia</c:v>
                </c:pt>
                <c:pt idx="2">
                  <c:v>Valle</c:v>
                </c:pt>
                <c:pt idx="3">
                  <c:v>Cundinamarca</c:v>
                </c:pt>
                <c:pt idx="4">
                  <c:v>Santander</c:v>
                </c:pt>
                <c:pt idx="5">
                  <c:v>Barranquilla</c:v>
                </c:pt>
                <c:pt idx="6">
                  <c:v>Nariño</c:v>
                </c:pt>
                <c:pt idx="7">
                  <c:v>Nte. Santander</c:v>
                </c:pt>
                <c:pt idx="8">
                  <c:v>Boyacá</c:v>
                </c:pt>
                <c:pt idx="9">
                  <c:v>Tolima</c:v>
                </c:pt>
                <c:pt idx="10">
                  <c:v>Córdoba</c:v>
                </c:pt>
                <c:pt idx="11">
                  <c:v>Risaralda</c:v>
                </c:pt>
                <c:pt idx="12">
                  <c:v>Caldas</c:v>
                </c:pt>
                <c:pt idx="13">
                  <c:v>Cauca</c:v>
                </c:pt>
                <c:pt idx="14">
                  <c:v>Cartagena</c:v>
                </c:pt>
                <c:pt idx="15">
                  <c:v>Huila</c:v>
                </c:pt>
                <c:pt idx="16">
                  <c:v>Atlántico</c:v>
                </c:pt>
                <c:pt idx="17">
                  <c:v>Bolívar</c:v>
                </c:pt>
                <c:pt idx="18">
                  <c:v>Cesar</c:v>
                </c:pt>
                <c:pt idx="19">
                  <c:v>Meta</c:v>
                </c:pt>
                <c:pt idx="20">
                  <c:v>Sucre</c:v>
                </c:pt>
                <c:pt idx="21">
                  <c:v>La Guajira</c:v>
                </c:pt>
                <c:pt idx="22">
                  <c:v>Quíndio</c:v>
                </c:pt>
                <c:pt idx="23">
                  <c:v>Magdalena</c:v>
                </c:pt>
                <c:pt idx="24">
                  <c:v>Santa Marta</c:v>
                </c:pt>
                <c:pt idx="25">
                  <c:v>Casanare</c:v>
                </c:pt>
                <c:pt idx="26">
                  <c:v>Caquetá</c:v>
                </c:pt>
                <c:pt idx="27">
                  <c:v>Chocó</c:v>
                </c:pt>
                <c:pt idx="28">
                  <c:v>Putumayo</c:v>
                </c:pt>
                <c:pt idx="29">
                  <c:v>Arauca</c:v>
                </c:pt>
                <c:pt idx="30">
                  <c:v>Buenaventura</c:v>
                </c:pt>
                <c:pt idx="31">
                  <c:v>San Andrés y Providencia</c:v>
                </c:pt>
                <c:pt idx="32">
                  <c:v>Amazonas</c:v>
                </c:pt>
                <c:pt idx="33">
                  <c:v>Guaviare</c:v>
                </c:pt>
                <c:pt idx="34">
                  <c:v>Guainía</c:v>
                </c:pt>
                <c:pt idx="35">
                  <c:v>Vichada</c:v>
                </c:pt>
                <c:pt idx="36">
                  <c:v>Vaupés</c:v>
                </c:pt>
              </c:strCache>
            </c:strRef>
          </c:cat>
          <c:val>
            <c:numRef>
              <c:f>'Dosis aplicadas'!$I$2:$I$38</c:f>
              <c:numCache>
                <c:formatCode>General</c:formatCode>
                <c:ptCount val="37"/>
                <c:pt idx="0">
                  <c:v>5992380</c:v>
                </c:pt>
                <c:pt idx="1">
                  <c:v>4802193</c:v>
                </c:pt>
                <c:pt idx="2">
                  <c:v>2839445</c:v>
                </c:pt>
                <c:pt idx="3">
                  <c:v>1942377</c:v>
                </c:pt>
                <c:pt idx="4">
                  <c:v>1632263</c:v>
                </c:pt>
                <c:pt idx="5">
                  <c:v>977975</c:v>
                </c:pt>
                <c:pt idx="6">
                  <c:v>952153</c:v>
                </c:pt>
                <c:pt idx="7">
                  <c:v>936771</c:v>
                </c:pt>
                <c:pt idx="8">
                  <c:v>935567</c:v>
                </c:pt>
                <c:pt idx="9">
                  <c:v>907844</c:v>
                </c:pt>
                <c:pt idx="10">
                  <c:v>906164</c:v>
                </c:pt>
                <c:pt idx="11">
                  <c:v>729803</c:v>
                </c:pt>
                <c:pt idx="12">
                  <c:v>700339</c:v>
                </c:pt>
                <c:pt idx="13">
                  <c:v>689405</c:v>
                </c:pt>
                <c:pt idx="14">
                  <c:v>682562</c:v>
                </c:pt>
                <c:pt idx="15">
                  <c:v>665600</c:v>
                </c:pt>
                <c:pt idx="16">
                  <c:v>620791</c:v>
                </c:pt>
                <c:pt idx="17">
                  <c:v>607057</c:v>
                </c:pt>
                <c:pt idx="18">
                  <c:v>572313</c:v>
                </c:pt>
                <c:pt idx="19">
                  <c:v>560218</c:v>
                </c:pt>
                <c:pt idx="20">
                  <c:v>547876</c:v>
                </c:pt>
                <c:pt idx="21">
                  <c:v>465060</c:v>
                </c:pt>
                <c:pt idx="22">
                  <c:v>450379</c:v>
                </c:pt>
                <c:pt idx="23">
                  <c:v>428770</c:v>
                </c:pt>
                <c:pt idx="24">
                  <c:v>275447</c:v>
                </c:pt>
                <c:pt idx="25">
                  <c:v>242402</c:v>
                </c:pt>
                <c:pt idx="26">
                  <c:v>212808</c:v>
                </c:pt>
                <c:pt idx="27">
                  <c:v>207858</c:v>
                </c:pt>
                <c:pt idx="28">
                  <c:v>172289</c:v>
                </c:pt>
                <c:pt idx="29">
                  <c:v>155797</c:v>
                </c:pt>
                <c:pt idx="30">
                  <c:v>94974</c:v>
                </c:pt>
                <c:pt idx="31">
                  <c:v>89939</c:v>
                </c:pt>
                <c:pt idx="32">
                  <c:v>76056</c:v>
                </c:pt>
                <c:pt idx="33">
                  <c:v>44840</c:v>
                </c:pt>
                <c:pt idx="34">
                  <c:v>28442</c:v>
                </c:pt>
                <c:pt idx="35">
                  <c:v>26284</c:v>
                </c:pt>
                <c:pt idx="36">
                  <c:v>20331</c:v>
                </c:pt>
              </c:numCache>
            </c:numRef>
          </c:val>
          <c:extLst>
            <c:ext xmlns:c16="http://schemas.microsoft.com/office/drawing/2014/chart" uri="{C3380CC4-5D6E-409C-BE32-E72D297353CC}">
              <c16:uniqueId val="{00000000-DB5E-4A27-91E6-377C35C22541}"/>
            </c:ext>
          </c:extLst>
        </c:ser>
        <c:ser>
          <c:idx val="1"/>
          <c:order val="1"/>
          <c:tx>
            <c:strRef>
              <c:f>'Dosis aplicadas'!$J$1</c:f>
              <c:strCache>
                <c:ptCount val="1"/>
                <c:pt idx="0">
                  <c:v>Dosis aplicadas</c:v>
                </c:pt>
              </c:strCache>
            </c:strRef>
          </c:tx>
          <c:spPr>
            <a:solidFill>
              <a:schemeClr val="accent2"/>
            </a:solidFill>
            <a:ln>
              <a:noFill/>
            </a:ln>
            <a:effectLst/>
          </c:spPr>
          <c:invertIfNegative val="0"/>
          <c:cat>
            <c:strRef>
              <c:f>'Dosis aplicadas'!$H$2:$H$38</c:f>
              <c:strCache>
                <c:ptCount val="37"/>
                <c:pt idx="0">
                  <c:v>Bogotá</c:v>
                </c:pt>
                <c:pt idx="1">
                  <c:v>Antioquia</c:v>
                </c:pt>
                <c:pt idx="2">
                  <c:v>Valle</c:v>
                </c:pt>
                <c:pt idx="3">
                  <c:v>Cundinamarca</c:v>
                </c:pt>
                <c:pt idx="4">
                  <c:v>Santander</c:v>
                </c:pt>
                <c:pt idx="5">
                  <c:v>Barranquilla</c:v>
                </c:pt>
                <c:pt idx="6">
                  <c:v>Nariño</c:v>
                </c:pt>
                <c:pt idx="7">
                  <c:v>Nte. Santander</c:v>
                </c:pt>
                <c:pt idx="8">
                  <c:v>Boyacá</c:v>
                </c:pt>
                <c:pt idx="9">
                  <c:v>Tolima</c:v>
                </c:pt>
                <c:pt idx="10">
                  <c:v>Córdoba</c:v>
                </c:pt>
                <c:pt idx="11">
                  <c:v>Risaralda</c:v>
                </c:pt>
                <c:pt idx="12">
                  <c:v>Caldas</c:v>
                </c:pt>
                <c:pt idx="13">
                  <c:v>Cauca</c:v>
                </c:pt>
                <c:pt idx="14">
                  <c:v>Cartagena</c:v>
                </c:pt>
                <c:pt idx="15">
                  <c:v>Huila</c:v>
                </c:pt>
                <c:pt idx="16">
                  <c:v>Atlántico</c:v>
                </c:pt>
                <c:pt idx="17">
                  <c:v>Bolívar</c:v>
                </c:pt>
                <c:pt idx="18">
                  <c:v>Cesar</c:v>
                </c:pt>
                <c:pt idx="19">
                  <c:v>Meta</c:v>
                </c:pt>
                <c:pt idx="20">
                  <c:v>Sucre</c:v>
                </c:pt>
                <c:pt idx="21">
                  <c:v>La Guajira</c:v>
                </c:pt>
                <c:pt idx="22">
                  <c:v>Quíndio</c:v>
                </c:pt>
                <c:pt idx="23">
                  <c:v>Magdalena</c:v>
                </c:pt>
                <c:pt idx="24">
                  <c:v>Santa Marta</c:v>
                </c:pt>
                <c:pt idx="25">
                  <c:v>Casanare</c:v>
                </c:pt>
                <c:pt idx="26">
                  <c:v>Caquetá</c:v>
                </c:pt>
                <c:pt idx="27">
                  <c:v>Chocó</c:v>
                </c:pt>
                <c:pt idx="28">
                  <c:v>Putumayo</c:v>
                </c:pt>
                <c:pt idx="29">
                  <c:v>Arauca</c:v>
                </c:pt>
                <c:pt idx="30">
                  <c:v>Buenaventura</c:v>
                </c:pt>
                <c:pt idx="31">
                  <c:v>San Andrés y Providencia</c:v>
                </c:pt>
                <c:pt idx="32">
                  <c:v>Amazonas</c:v>
                </c:pt>
                <c:pt idx="33">
                  <c:v>Guaviare</c:v>
                </c:pt>
                <c:pt idx="34">
                  <c:v>Guainía</c:v>
                </c:pt>
                <c:pt idx="35">
                  <c:v>Vichada</c:v>
                </c:pt>
                <c:pt idx="36">
                  <c:v>Vaupés</c:v>
                </c:pt>
              </c:strCache>
            </c:strRef>
          </c:cat>
          <c:val>
            <c:numRef>
              <c:f>'Dosis aplicadas'!$J$2:$J$38</c:f>
              <c:numCache>
                <c:formatCode>General</c:formatCode>
                <c:ptCount val="37"/>
                <c:pt idx="0">
                  <c:v>4966730</c:v>
                </c:pt>
                <c:pt idx="1">
                  <c:v>4024279</c:v>
                </c:pt>
                <c:pt idx="2">
                  <c:v>2445101</c:v>
                </c:pt>
                <c:pt idx="3">
                  <c:v>1713651</c:v>
                </c:pt>
                <c:pt idx="4">
                  <c:v>1381363</c:v>
                </c:pt>
                <c:pt idx="5">
                  <c:v>844687</c:v>
                </c:pt>
                <c:pt idx="6">
                  <c:v>828363</c:v>
                </c:pt>
                <c:pt idx="7">
                  <c:v>806443</c:v>
                </c:pt>
                <c:pt idx="8">
                  <c:v>868653</c:v>
                </c:pt>
                <c:pt idx="9">
                  <c:v>783363</c:v>
                </c:pt>
                <c:pt idx="10">
                  <c:v>749618</c:v>
                </c:pt>
                <c:pt idx="11">
                  <c:v>608487</c:v>
                </c:pt>
                <c:pt idx="12">
                  <c:v>580318</c:v>
                </c:pt>
                <c:pt idx="13">
                  <c:v>450015</c:v>
                </c:pt>
                <c:pt idx="14">
                  <c:v>582650</c:v>
                </c:pt>
                <c:pt idx="15">
                  <c:v>557929</c:v>
                </c:pt>
                <c:pt idx="16">
                  <c:v>522236</c:v>
                </c:pt>
                <c:pt idx="17">
                  <c:v>500487</c:v>
                </c:pt>
                <c:pt idx="18">
                  <c:v>472752</c:v>
                </c:pt>
                <c:pt idx="19">
                  <c:v>467467</c:v>
                </c:pt>
                <c:pt idx="20">
                  <c:v>423009</c:v>
                </c:pt>
                <c:pt idx="21">
                  <c:v>394520</c:v>
                </c:pt>
                <c:pt idx="22">
                  <c:v>384190</c:v>
                </c:pt>
                <c:pt idx="23">
                  <c:v>330484</c:v>
                </c:pt>
                <c:pt idx="24">
                  <c:v>228121</c:v>
                </c:pt>
                <c:pt idx="25">
                  <c:v>206121</c:v>
                </c:pt>
                <c:pt idx="26">
                  <c:v>175949</c:v>
                </c:pt>
                <c:pt idx="27">
                  <c:v>140217</c:v>
                </c:pt>
                <c:pt idx="28">
                  <c:v>114853</c:v>
                </c:pt>
                <c:pt idx="29">
                  <c:v>124209</c:v>
                </c:pt>
                <c:pt idx="30">
                  <c:v>88151</c:v>
                </c:pt>
                <c:pt idx="31">
                  <c:v>71453</c:v>
                </c:pt>
                <c:pt idx="32">
                  <c:v>67709</c:v>
                </c:pt>
                <c:pt idx="33">
                  <c:v>35919</c:v>
                </c:pt>
                <c:pt idx="34">
                  <c:v>22732</c:v>
                </c:pt>
                <c:pt idx="35">
                  <c:v>22171</c:v>
                </c:pt>
                <c:pt idx="36">
                  <c:v>17113</c:v>
                </c:pt>
              </c:numCache>
            </c:numRef>
          </c:val>
          <c:extLst>
            <c:ext xmlns:c16="http://schemas.microsoft.com/office/drawing/2014/chart" uri="{C3380CC4-5D6E-409C-BE32-E72D297353CC}">
              <c16:uniqueId val="{00000001-DB5E-4A27-91E6-377C35C22541}"/>
            </c:ext>
          </c:extLst>
        </c:ser>
        <c:dLbls>
          <c:showLegendKey val="0"/>
          <c:showVal val="0"/>
          <c:showCatName val="0"/>
          <c:showSerName val="0"/>
          <c:showPercent val="0"/>
          <c:showBubbleSize val="0"/>
        </c:dLbls>
        <c:gapWidth val="182"/>
        <c:axId val="437974760"/>
        <c:axId val="437975744"/>
      </c:barChart>
      <c:catAx>
        <c:axId val="43797476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sz="1100" b="1">
                    <a:solidFill>
                      <a:sysClr val="windowText" lastClr="000000"/>
                    </a:solidFill>
                  </a:rPr>
                  <a:t>Entidad   territorial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crossAx val="437975744"/>
        <c:crosses val="autoZero"/>
        <c:auto val="1"/>
        <c:lblAlgn val="ctr"/>
        <c:lblOffset val="100"/>
        <c:noMultiLvlLbl val="0"/>
      </c:catAx>
      <c:valAx>
        <c:axId val="43797574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sz="1100" b="1">
                    <a:solidFill>
                      <a:sysClr val="windowText" lastClr="000000"/>
                    </a:solidFill>
                  </a:rPr>
                  <a:t>Dosis</a:t>
                </a:r>
              </a:p>
            </c:rich>
          </c:tx>
          <c:layout>
            <c:manualLayout>
              <c:xMode val="edge"/>
              <c:yMode val="edge"/>
              <c:x val="0.53120359458890976"/>
              <c:y val="0.8968836365525291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crossAx val="437974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'Dosis aplicadas'!$P$1</c:f>
              <c:strCache>
                <c:ptCount val="1"/>
                <c:pt idx="0">
                  <c:v>Porcentaje dosis asignadas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'Dosis aplicadas'!$O$2:$O$38</c:f>
              <c:strCache>
                <c:ptCount val="37"/>
                <c:pt idx="0">
                  <c:v>Bogotá</c:v>
                </c:pt>
                <c:pt idx="1">
                  <c:v>Antioquia</c:v>
                </c:pt>
                <c:pt idx="2">
                  <c:v>Valle</c:v>
                </c:pt>
                <c:pt idx="3">
                  <c:v>Cundinamarca</c:v>
                </c:pt>
                <c:pt idx="4">
                  <c:v>Santander</c:v>
                </c:pt>
                <c:pt idx="5">
                  <c:v>Barranquilla</c:v>
                </c:pt>
                <c:pt idx="6">
                  <c:v>Nariño</c:v>
                </c:pt>
                <c:pt idx="7">
                  <c:v>Boyacá</c:v>
                </c:pt>
                <c:pt idx="8">
                  <c:v>Nte. Santander</c:v>
                </c:pt>
                <c:pt idx="9">
                  <c:v>Tolima</c:v>
                </c:pt>
                <c:pt idx="10">
                  <c:v>Córdoba</c:v>
                </c:pt>
                <c:pt idx="11">
                  <c:v>Risaralda</c:v>
                </c:pt>
                <c:pt idx="12">
                  <c:v>Caldas</c:v>
                </c:pt>
                <c:pt idx="13">
                  <c:v>Cauca</c:v>
                </c:pt>
                <c:pt idx="14">
                  <c:v>Cartagena</c:v>
                </c:pt>
                <c:pt idx="15">
                  <c:v>Huila</c:v>
                </c:pt>
                <c:pt idx="16">
                  <c:v>Atlántico</c:v>
                </c:pt>
                <c:pt idx="17">
                  <c:v>Bolívar</c:v>
                </c:pt>
                <c:pt idx="18">
                  <c:v>Cesar</c:v>
                </c:pt>
                <c:pt idx="19">
                  <c:v>Meta</c:v>
                </c:pt>
                <c:pt idx="20">
                  <c:v>Sucre</c:v>
                </c:pt>
                <c:pt idx="21">
                  <c:v>La Guajira</c:v>
                </c:pt>
                <c:pt idx="22">
                  <c:v>Quíndio</c:v>
                </c:pt>
                <c:pt idx="23">
                  <c:v>Magdalena</c:v>
                </c:pt>
                <c:pt idx="24">
                  <c:v>Santa Marta</c:v>
                </c:pt>
                <c:pt idx="25">
                  <c:v>Casanare</c:v>
                </c:pt>
                <c:pt idx="26">
                  <c:v>Caquetá</c:v>
                </c:pt>
                <c:pt idx="27">
                  <c:v>Chocó</c:v>
                </c:pt>
                <c:pt idx="28">
                  <c:v>Putumayo</c:v>
                </c:pt>
                <c:pt idx="29">
                  <c:v>Arauca</c:v>
                </c:pt>
                <c:pt idx="30">
                  <c:v>Buenaventura</c:v>
                </c:pt>
                <c:pt idx="31">
                  <c:v>San Andrés y Providencia</c:v>
                </c:pt>
                <c:pt idx="32">
                  <c:v>Amazonas</c:v>
                </c:pt>
                <c:pt idx="33">
                  <c:v>Guaviare</c:v>
                </c:pt>
                <c:pt idx="34">
                  <c:v>Guainía</c:v>
                </c:pt>
                <c:pt idx="35">
                  <c:v>Vichada</c:v>
                </c:pt>
                <c:pt idx="36">
                  <c:v>Vaupés</c:v>
                </c:pt>
              </c:strCache>
            </c:strRef>
          </c:cat>
          <c:val>
            <c:numRef>
              <c:f>'Dosis aplicadas'!$P$2:$P$38</c:f>
              <c:numCache>
                <c:formatCode>General</c:formatCode>
                <c:ptCount val="37"/>
                <c:pt idx="0">
                  <c:v>18.61</c:v>
                </c:pt>
                <c:pt idx="1">
                  <c:v>14.92</c:v>
                </c:pt>
                <c:pt idx="2">
                  <c:v>8.82</c:v>
                </c:pt>
                <c:pt idx="3">
                  <c:v>6.03</c:v>
                </c:pt>
                <c:pt idx="4">
                  <c:v>5.07</c:v>
                </c:pt>
                <c:pt idx="5">
                  <c:v>3.04</c:v>
                </c:pt>
                <c:pt idx="6">
                  <c:v>2.96</c:v>
                </c:pt>
                <c:pt idx="7">
                  <c:v>2.91</c:v>
                </c:pt>
                <c:pt idx="8">
                  <c:v>2.91</c:v>
                </c:pt>
                <c:pt idx="9">
                  <c:v>2.82</c:v>
                </c:pt>
                <c:pt idx="10">
                  <c:v>2.81</c:v>
                </c:pt>
                <c:pt idx="11">
                  <c:v>2.27</c:v>
                </c:pt>
                <c:pt idx="12">
                  <c:v>2.1800000000000002</c:v>
                </c:pt>
                <c:pt idx="13">
                  <c:v>2.14</c:v>
                </c:pt>
                <c:pt idx="14">
                  <c:v>2.12</c:v>
                </c:pt>
                <c:pt idx="15">
                  <c:v>2.0699999999999998</c:v>
                </c:pt>
                <c:pt idx="16">
                  <c:v>1.93</c:v>
                </c:pt>
                <c:pt idx="17">
                  <c:v>1.89</c:v>
                </c:pt>
                <c:pt idx="18">
                  <c:v>1.78</c:v>
                </c:pt>
                <c:pt idx="19">
                  <c:v>1.74</c:v>
                </c:pt>
                <c:pt idx="20">
                  <c:v>1.7</c:v>
                </c:pt>
                <c:pt idx="21">
                  <c:v>1.44</c:v>
                </c:pt>
                <c:pt idx="22">
                  <c:v>1.4</c:v>
                </c:pt>
                <c:pt idx="23">
                  <c:v>1.33</c:v>
                </c:pt>
                <c:pt idx="24">
                  <c:v>0.86</c:v>
                </c:pt>
                <c:pt idx="25">
                  <c:v>0.75</c:v>
                </c:pt>
                <c:pt idx="26">
                  <c:v>0.66</c:v>
                </c:pt>
                <c:pt idx="27">
                  <c:v>0.65</c:v>
                </c:pt>
                <c:pt idx="28">
                  <c:v>0.54</c:v>
                </c:pt>
                <c:pt idx="29">
                  <c:v>0.48</c:v>
                </c:pt>
                <c:pt idx="30">
                  <c:v>0.3</c:v>
                </c:pt>
                <c:pt idx="31">
                  <c:v>0.28000000000000003</c:v>
                </c:pt>
                <c:pt idx="32">
                  <c:v>0.24</c:v>
                </c:pt>
                <c:pt idx="33">
                  <c:v>0.14000000000000001</c:v>
                </c:pt>
                <c:pt idx="34">
                  <c:v>0.09</c:v>
                </c:pt>
                <c:pt idx="35">
                  <c:v>0.08</c:v>
                </c:pt>
                <c:pt idx="36">
                  <c:v>0.06</c:v>
                </c:pt>
              </c:numCache>
            </c:numRef>
          </c:val>
          <c:extLst>
            <c:ext xmlns:c16="http://schemas.microsoft.com/office/drawing/2014/chart" uri="{C3380CC4-5D6E-409C-BE32-E72D297353CC}">
              <c16:uniqueId val="{00000000-535E-4917-9BD1-FBE69C165826}"/>
            </c:ext>
          </c:extLst>
        </c:ser>
        <c:dLbls>
          <c:dLblPos val="inEnd"/>
          <c:showLegendKey val="0"/>
          <c:showVal val="1"/>
          <c:showCatName val="0"/>
          <c:showSerName val="0"/>
          <c:showPercent val="0"/>
          <c:showBubbleSize val="0"/>
        </c:dLbls>
        <c:gapWidth val="182"/>
        <c:axId val="375678416"/>
        <c:axId val="375678744"/>
      </c:barChart>
      <c:catAx>
        <c:axId val="37567841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b="1">
                    <a:solidFill>
                      <a:sysClr val="windowText" lastClr="000000"/>
                    </a:solidFill>
                  </a:rPr>
                  <a:t>Entidad  territorial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crossAx val="375678744"/>
        <c:crosses val="autoZero"/>
        <c:auto val="1"/>
        <c:lblAlgn val="ctr"/>
        <c:lblOffset val="100"/>
        <c:noMultiLvlLbl val="0"/>
      </c:catAx>
      <c:valAx>
        <c:axId val="37567874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sz="1100" b="1">
                    <a:solidFill>
                      <a:sysClr val="windowText" lastClr="000000"/>
                    </a:solidFill>
                  </a:rPr>
                  <a:t>Porcentaje de dosis asignadas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crossAx val="375678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'Dosis aplicadas'!$M$1</c:f>
              <c:strCache>
                <c:ptCount val="1"/>
                <c:pt idx="0">
                  <c:v>Porcentaje de aplicación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'Dosis aplicadas'!$L$2:$L$38</c:f>
              <c:strCache>
                <c:ptCount val="37"/>
                <c:pt idx="0">
                  <c:v>Cauca</c:v>
                </c:pt>
                <c:pt idx="1">
                  <c:v>Putumayo</c:v>
                </c:pt>
                <c:pt idx="2">
                  <c:v>Chocó</c:v>
                </c:pt>
                <c:pt idx="3">
                  <c:v>Magdalena</c:v>
                </c:pt>
                <c:pt idx="4">
                  <c:v>Sucre</c:v>
                </c:pt>
                <c:pt idx="5">
                  <c:v>San Andrés y Providencia</c:v>
                </c:pt>
                <c:pt idx="6">
                  <c:v>Arauca</c:v>
                </c:pt>
                <c:pt idx="7">
                  <c:v>Guainía</c:v>
                </c:pt>
                <c:pt idx="8">
                  <c:v>Guaviare</c:v>
                </c:pt>
                <c:pt idx="9">
                  <c:v>Bolívar</c:v>
                </c:pt>
                <c:pt idx="10">
                  <c:v>Cesar</c:v>
                </c:pt>
                <c:pt idx="11">
                  <c:v>Caquetá</c:v>
                </c:pt>
                <c:pt idx="12">
                  <c:v>Córdoba</c:v>
                </c:pt>
                <c:pt idx="13">
                  <c:v>Santa Marta</c:v>
                </c:pt>
                <c:pt idx="14">
                  <c:v>Caldas</c:v>
                </c:pt>
                <c:pt idx="15">
                  <c:v>Bogotá</c:v>
                </c:pt>
                <c:pt idx="16">
                  <c:v>Risaralda</c:v>
                </c:pt>
                <c:pt idx="17">
                  <c:v>Meta</c:v>
                </c:pt>
                <c:pt idx="18">
                  <c:v>Antioquia</c:v>
                </c:pt>
                <c:pt idx="19">
                  <c:v>Huila</c:v>
                </c:pt>
                <c:pt idx="20">
                  <c:v>Atlántico</c:v>
                </c:pt>
                <c:pt idx="21">
                  <c:v>Vaupés</c:v>
                </c:pt>
                <c:pt idx="22">
                  <c:v>Vichada</c:v>
                </c:pt>
                <c:pt idx="23">
                  <c:v>Santander</c:v>
                </c:pt>
                <c:pt idx="24">
                  <c:v>La Guajira</c:v>
                </c:pt>
                <c:pt idx="25">
                  <c:v>Casanare</c:v>
                </c:pt>
                <c:pt idx="26">
                  <c:v>Quíndio</c:v>
                </c:pt>
                <c:pt idx="27">
                  <c:v>Cartagena</c:v>
                </c:pt>
                <c:pt idx="28">
                  <c:v>Nte. Santander</c:v>
                </c:pt>
                <c:pt idx="29">
                  <c:v>Valle</c:v>
                </c:pt>
                <c:pt idx="30">
                  <c:v>Tolima</c:v>
                </c:pt>
                <c:pt idx="31">
                  <c:v>Barranquilla</c:v>
                </c:pt>
                <c:pt idx="32">
                  <c:v>Nariño</c:v>
                </c:pt>
                <c:pt idx="33">
                  <c:v>Cundinamarca</c:v>
                </c:pt>
                <c:pt idx="34">
                  <c:v>Amazonas</c:v>
                </c:pt>
                <c:pt idx="35">
                  <c:v>Buenaventura</c:v>
                </c:pt>
                <c:pt idx="36">
                  <c:v>Boyacá</c:v>
                </c:pt>
              </c:strCache>
            </c:strRef>
          </c:cat>
          <c:val>
            <c:numRef>
              <c:f>'Dosis aplicadas'!$M$2:$M$38</c:f>
              <c:numCache>
                <c:formatCode>General</c:formatCode>
                <c:ptCount val="37"/>
                <c:pt idx="0">
                  <c:v>65.28</c:v>
                </c:pt>
                <c:pt idx="1">
                  <c:v>66.66</c:v>
                </c:pt>
                <c:pt idx="2">
                  <c:v>67.459999999999994</c:v>
                </c:pt>
                <c:pt idx="3">
                  <c:v>77.08</c:v>
                </c:pt>
                <c:pt idx="4">
                  <c:v>77.209999999999994</c:v>
                </c:pt>
                <c:pt idx="5">
                  <c:v>79.45</c:v>
                </c:pt>
                <c:pt idx="6">
                  <c:v>79.72</c:v>
                </c:pt>
                <c:pt idx="7">
                  <c:v>79.92</c:v>
                </c:pt>
                <c:pt idx="8">
                  <c:v>80.099999999999994</c:v>
                </c:pt>
                <c:pt idx="9">
                  <c:v>82.44</c:v>
                </c:pt>
                <c:pt idx="10">
                  <c:v>82.6</c:v>
                </c:pt>
                <c:pt idx="11">
                  <c:v>82.68</c:v>
                </c:pt>
                <c:pt idx="12">
                  <c:v>82.72</c:v>
                </c:pt>
                <c:pt idx="13">
                  <c:v>82.82</c:v>
                </c:pt>
                <c:pt idx="14">
                  <c:v>82.86</c:v>
                </c:pt>
                <c:pt idx="15">
                  <c:v>82.88</c:v>
                </c:pt>
                <c:pt idx="16">
                  <c:v>83.38</c:v>
                </c:pt>
                <c:pt idx="17">
                  <c:v>83.44</c:v>
                </c:pt>
                <c:pt idx="18">
                  <c:v>83.8</c:v>
                </c:pt>
                <c:pt idx="19">
                  <c:v>83.82</c:v>
                </c:pt>
                <c:pt idx="20">
                  <c:v>84.12</c:v>
                </c:pt>
                <c:pt idx="21">
                  <c:v>84.17</c:v>
                </c:pt>
                <c:pt idx="22">
                  <c:v>84.35</c:v>
                </c:pt>
                <c:pt idx="23">
                  <c:v>84.63</c:v>
                </c:pt>
                <c:pt idx="24">
                  <c:v>84.83</c:v>
                </c:pt>
                <c:pt idx="25">
                  <c:v>85.03</c:v>
                </c:pt>
                <c:pt idx="26">
                  <c:v>85.3</c:v>
                </c:pt>
                <c:pt idx="27">
                  <c:v>85.36</c:v>
                </c:pt>
                <c:pt idx="28">
                  <c:v>86.09</c:v>
                </c:pt>
                <c:pt idx="29">
                  <c:v>86.11</c:v>
                </c:pt>
                <c:pt idx="30">
                  <c:v>86.29</c:v>
                </c:pt>
                <c:pt idx="31">
                  <c:v>86.37</c:v>
                </c:pt>
                <c:pt idx="32">
                  <c:v>87</c:v>
                </c:pt>
                <c:pt idx="33">
                  <c:v>88.22</c:v>
                </c:pt>
                <c:pt idx="34">
                  <c:v>89.03</c:v>
                </c:pt>
                <c:pt idx="35">
                  <c:v>92.82</c:v>
                </c:pt>
                <c:pt idx="36">
                  <c:v>92.85</c:v>
                </c:pt>
              </c:numCache>
            </c:numRef>
          </c:val>
          <c:extLst>
            <c:ext xmlns:c16="http://schemas.microsoft.com/office/drawing/2014/chart" uri="{C3380CC4-5D6E-409C-BE32-E72D297353CC}">
              <c16:uniqueId val="{00000000-36F7-4A6E-88FC-48FBD7CAC610}"/>
            </c:ext>
          </c:extLst>
        </c:ser>
        <c:dLbls>
          <c:dLblPos val="inEnd"/>
          <c:showLegendKey val="0"/>
          <c:showVal val="1"/>
          <c:showCatName val="0"/>
          <c:showSerName val="0"/>
          <c:showPercent val="0"/>
          <c:showBubbleSize val="0"/>
        </c:dLbls>
        <c:gapWidth val="182"/>
        <c:axId val="824849712"/>
        <c:axId val="824846104"/>
      </c:barChart>
      <c:catAx>
        <c:axId val="824849712"/>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s-CO" b="1">
                    <a:solidFill>
                      <a:sysClr val="windowText" lastClr="000000"/>
                    </a:solidFill>
                  </a:rPr>
                  <a:t>Entidad   territorial</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s-C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crossAx val="824846104"/>
        <c:crosses val="autoZero"/>
        <c:auto val="1"/>
        <c:lblAlgn val="ctr"/>
        <c:lblOffset val="100"/>
        <c:noMultiLvlLbl val="0"/>
      </c:catAx>
      <c:valAx>
        <c:axId val="82484610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s-CO" b="1">
                    <a:solidFill>
                      <a:sysClr val="windowText" lastClr="000000"/>
                    </a:solidFill>
                  </a:rPr>
                  <a:t>Porcentaje de dosis aplicadas</a:t>
                </a:r>
              </a:p>
            </c:rich>
          </c:tx>
          <c:layout>
            <c:manualLayout>
              <c:xMode val="edge"/>
              <c:yMode val="edge"/>
              <c:x val="0.46411252514950246"/>
              <c:y val="0.96262567208416305"/>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s-C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crossAx val="8248497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69C84-9B9B-49B1-940C-E3694D644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3019</Words>
  <Characters>19476</Characters>
  <Application>Microsoft Office Word</Application>
  <DocSecurity>0</DocSecurity>
  <Lines>452</Lines>
  <Paragraphs>155</Paragraphs>
  <ScaleCrop>false</ScaleCrop>
  <HeadingPairs>
    <vt:vector size="4" baseType="variant">
      <vt:variant>
        <vt:lpstr>Título</vt:lpstr>
      </vt:variant>
      <vt:variant>
        <vt:i4>1</vt:i4>
      </vt:variant>
      <vt:variant>
        <vt:lpstr>Títulos</vt:lpstr>
      </vt:variant>
      <vt:variant>
        <vt:i4>8</vt:i4>
      </vt:variant>
    </vt:vector>
  </HeadingPairs>
  <TitlesOfParts>
    <vt:vector size="9" baseType="lpstr">
      <vt:lpstr/>
      <vt:lpstr>    Metodología</vt:lpstr>
      <vt:lpstr>    Resultados</vt:lpstr>
      <vt:lpstr>    /</vt:lpstr>
      <vt:lpstr>    </vt:lpstr>
      <vt:lpstr>    En la figura 3 podemos apreciar los valores de los esquemas completos por sexo e</vt:lpstr>
      <vt:lpstr>    </vt:lpstr>
      <vt:lpstr>    </vt:lpstr>
      <vt:lpstr>    Conclusiones </vt:lpstr>
    </vt:vector>
  </TitlesOfParts>
  <Company/>
  <LinksUpToDate>false</LinksUpToDate>
  <CharactersWithSpaces>22340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Enrique Díaz Pinzón</dc:creator>
  <cp:keywords/>
  <dc:description/>
  <cp:lastModifiedBy>Jorge Enrique Díaz Pinzón</cp:lastModifiedBy>
  <cp:revision>12</cp:revision>
  <dcterms:created xsi:type="dcterms:W3CDTF">2022-03-11T21:35:00Z</dcterms:created>
  <dcterms:modified xsi:type="dcterms:W3CDTF">2022-07-16T21:36:00Z</dcterms:modified>
</cp:coreProperties>
</file>