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85B94" w14:textId="77777777" w:rsidR="009E0FFC" w:rsidRPr="00DF0B57" w:rsidRDefault="009E0FFC" w:rsidP="001B4B99">
      <w:pPr>
        <w:widowControl w:val="0"/>
        <w:pBdr>
          <w:top w:val="nil"/>
          <w:left w:val="nil"/>
          <w:bottom w:val="nil"/>
          <w:right w:val="nil"/>
          <w:between w:val="nil"/>
        </w:pBdr>
        <w:spacing w:after="0" w:line="240" w:lineRule="auto"/>
        <w:jc w:val="both"/>
        <w:rPr>
          <w:rFonts w:ascii="Times New Roman" w:eastAsia="Leelawadee UI Semilight" w:hAnsi="Times New Roman" w:cs="Times New Roman"/>
          <w:sz w:val="24"/>
          <w:szCs w:val="24"/>
        </w:rPr>
      </w:pPr>
    </w:p>
    <w:p w14:paraId="09ADE874" w14:textId="77777777" w:rsidR="009E0FFC" w:rsidRPr="00DF0B57" w:rsidRDefault="006B1808" w:rsidP="0079506F">
      <w:pPr>
        <w:spacing w:line="240" w:lineRule="auto"/>
        <w:jc w:val="center"/>
        <w:rPr>
          <w:rFonts w:ascii="Times New Roman" w:eastAsia="Arial" w:hAnsi="Times New Roman" w:cs="Times New Roman"/>
          <w:b/>
          <w:sz w:val="24"/>
          <w:szCs w:val="24"/>
        </w:rPr>
      </w:pPr>
      <w:r w:rsidRPr="00DF0B57">
        <w:rPr>
          <w:rFonts w:ascii="Times New Roman" w:eastAsia="Arial" w:hAnsi="Times New Roman" w:cs="Times New Roman"/>
          <w:b/>
          <w:sz w:val="24"/>
          <w:szCs w:val="24"/>
        </w:rPr>
        <w:t>Impacto del Covid-19 en el empleo del sector turístico de Cozumel</w:t>
      </w:r>
    </w:p>
    <w:p w14:paraId="6FBB59A5" w14:textId="77777777" w:rsidR="009E0FFC" w:rsidRPr="00DF0B57" w:rsidRDefault="006B1808" w:rsidP="001B4B99">
      <w:pPr>
        <w:spacing w:line="240" w:lineRule="auto"/>
        <w:ind w:left="5040" w:firstLine="720"/>
        <w:jc w:val="both"/>
        <w:rPr>
          <w:rFonts w:ascii="Times New Roman" w:eastAsia="Arial" w:hAnsi="Times New Roman" w:cs="Times New Roman"/>
          <w:sz w:val="24"/>
          <w:szCs w:val="24"/>
        </w:rPr>
      </w:pPr>
      <w:r w:rsidRPr="00DF0B57">
        <w:rPr>
          <w:rFonts w:ascii="Times New Roman" w:eastAsia="Arial" w:hAnsi="Times New Roman" w:cs="Times New Roman"/>
          <w:sz w:val="24"/>
          <w:szCs w:val="24"/>
        </w:rPr>
        <w:t>Dra. Lucinda Arroyo Arcos</w:t>
      </w:r>
      <w:r w:rsidRPr="00DF0B57">
        <w:rPr>
          <w:rFonts w:ascii="Times New Roman" w:eastAsia="Arial" w:hAnsi="Times New Roman" w:cs="Times New Roman"/>
          <w:sz w:val="24"/>
          <w:szCs w:val="24"/>
          <w:vertAlign w:val="superscript"/>
        </w:rPr>
        <w:footnoteReference w:id="1"/>
      </w:r>
    </w:p>
    <w:p w14:paraId="016AEEEE" w14:textId="77777777" w:rsidR="009E0FFC" w:rsidRPr="00DF0B57" w:rsidRDefault="006B1808" w:rsidP="001B4B99">
      <w:pPr>
        <w:spacing w:line="240" w:lineRule="auto"/>
        <w:ind w:left="5040" w:firstLine="720"/>
        <w:jc w:val="both"/>
        <w:rPr>
          <w:rFonts w:ascii="Times New Roman" w:eastAsia="Arial" w:hAnsi="Times New Roman" w:cs="Times New Roman"/>
          <w:sz w:val="24"/>
          <w:szCs w:val="24"/>
        </w:rPr>
      </w:pPr>
      <w:r w:rsidRPr="00DF0B57">
        <w:rPr>
          <w:rFonts w:ascii="Times New Roman" w:eastAsia="Arial" w:hAnsi="Times New Roman" w:cs="Times New Roman"/>
          <w:sz w:val="24"/>
          <w:szCs w:val="24"/>
        </w:rPr>
        <w:t>Dr. Oscar Frausto Martínez</w:t>
      </w:r>
      <w:r w:rsidRPr="00DF0B57">
        <w:rPr>
          <w:rFonts w:ascii="Times New Roman" w:eastAsia="Arial" w:hAnsi="Times New Roman" w:cs="Times New Roman"/>
          <w:sz w:val="24"/>
          <w:szCs w:val="24"/>
          <w:vertAlign w:val="superscript"/>
        </w:rPr>
        <w:footnoteReference w:id="2"/>
      </w:r>
    </w:p>
    <w:p w14:paraId="7E5CC7CB" w14:textId="77777777" w:rsidR="009E0FFC" w:rsidRPr="00DF0B57" w:rsidRDefault="006B1808" w:rsidP="001B4B99">
      <w:pPr>
        <w:spacing w:line="240" w:lineRule="auto"/>
        <w:ind w:left="5040" w:firstLine="720"/>
        <w:jc w:val="both"/>
        <w:rPr>
          <w:rFonts w:ascii="Times New Roman" w:eastAsia="Arial" w:hAnsi="Times New Roman" w:cs="Times New Roman"/>
          <w:sz w:val="24"/>
          <w:szCs w:val="24"/>
        </w:rPr>
      </w:pPr>
      <w:r w:rsidRPr="00DF0B57">
        <w:rPr>
          <w:rFonts w:ascii="Times New Roman" w:eastAsia="Arial" w:hAnsi="Times New Roman" w:cs="Times New Roman"/>
          <w:sz w:val="24"/>
          <w:szCs w:val="24"/>
        </w:rPr>
        <w:t>Mtra. Stephanie  Bolan Sorchini</w:t>
      </w:r>
      <w:r w:rsidRPr="00DF0B57">
        <w:rPr>
          <w:rFonts w:ascii="Times New Roman" w:eastAsia="Arial" w:hAnsi="Times New Roman" w:cs="Times New Roman"/>
          <w:sz w:val="24"/>
          <w:szCs w:val="24"/>
          <w:vertAlign w:val="superscript"/>
        </w:rPr>
        <w:footnoteReference w:id="3"/>
      </w:r>
    </w:p>
    <w:p w14:paraId="4869C4D0" w14:textId="37B55986" w:rsidR="009E0FFC" w:rsidRPr="00DF0B57" w:rsidRDefault="006B1808" w:rsidP="001B4B99">
      <w:pPr>
        <w:spacing w:line="24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 xml:space="preserve">Resumen: Este estudio tiene como objetivo analizar el impacto a corto plazo que tuvo el Covid-19 en el empleo del sector turístico de Cozumel y estrategias de contención y apoyo para la población. Se consultaron documentos oficiales emergentes a distintos niveles y se diseñó una encuesta </w:t>
      </w:r>
      <w:r w:rsidRPr="00DF0B57">
        <w:rPr>
          <w:rFonts w:ascii="Times New Roman" w:eastAsia="Times New Roman" w:hAnsi="Times New Roman" w:cs="Times New Roman"/>
          <w:i/>
          <w:sz w:val="24"/>
          <w:szCs w:val="24"/>
        </w:rPr>
        <w:t>online</w:t>
      </w:r>
      <w:r w:rsidRPr="00DF0B57">
        <w:rPr>
          <w:rFonts w:ascii="Times New Roman" w:eastAsia="Times New Roman" w:hAnsi="Times New Roman" w:cs="Times New Roman"/>
          <w:sz w:val="24"/>
          <w:szCs w:val="24"/>
        </w:rPr>
        <w:t xml:space="preserve"> en </w:t>
      </w:r>
      <w:r w:rsidRPr="00DF0B57">
        <w:rPr>
          <w:rFonts w:ascii="Times New Roman" w:eastAsia="Times New Roman" w:hAnsi="Times New Roman" w:cs="Times New Roman"/>
          <w:i/>
          <w:sz w:val="24"/>
          <w:szCs w:val="24"/>
        </w:rPr>
        <w:t xml:space="preserve">Microsoft </w:t>
      </w:r>
      <w:proofErr w:type="spellStart"/>
      <w:r w:rsidRPr="00DF0B57">
        <w:rPr>
          <w:rFonts w:ascii="Times New Roman" w:eastAsia="Times New Roman" w:hAnsi="Times New Roman" w:cs="Times New Roman"/>
          <w:i/>
          <w:sz w:val="24"/>
          <w:szCs w:val="24"/>
        </w:rPr>
        <w:t>Forms</w:t>
      </w:r>
      <w:proofErr w:type="spellEnd"/>
      <w:r w:rsidRPr="00DF0B57">
        <w:rPr>
          <w:rFonts w:ascii="Times New Roman" w:eastAsia="Times New Roman" w:hAnsi="Times New Roman" w:cs="Times New Roman"/>
          <w:sz w:val="24"/>
          <w:szCs w:val="24"/>
        </w:rPr>
        <w:t xml:space="preserve"> (27/ abril al 01/ junio/ 2020). El universo de estudio fue de 356 personas cuya determinante, era haber trabajado en turismo antes del Covid-19 (23/marzo/2020); resultó que el 82% de las tuvieron una disminución en ingresos, el 64% no contaba con un fondo de ahorro, el 48% sin un contrato por tiempo indefinido, y el 70% no recibió extras monetarios, algunas estrategias de contención ante la pandemia fueron la venta de equipos personales, empeño, prestamos, despensa y apoyo entre amigos y familiares. El cierre de hoteles, la ocupación a la baja un 0%, la caída de 6.6% de cruceristas y un 63% de arribo de cruceros con respecto al año anterior, dio como resultado la pérdida de aproximadamente 12.000 puestos. Como conclusión, la economía local mantiene una alta dependencia de la </w:t>
      </w:r>
      <w:r w:rsidRPr="007D2CB1">
        <w:rPr>
          <w:rFonts w:ascii="Times New Roman" w:eastAsia="Times New Roman" w:hAnsi="Times New Roman" w:cs="Times New Roman"/>
          <w:sz w:val="24"/>
          <w:szCs w:val="24"/>
        </w:rPr>
        <w:t>actividad turística y se vislumbra la precariedad de las condiciones del empleo a las que se enfrentan los colaboradores de</w:t>
      </w:r>
      <w:r w:rsidR="00A672E6" w:rsidRPr="007D2CB1">
        <w:rPr>
          <w:rFonts w:ascii="Times New Roman" w:eastAsia="Times New Roman" w:hAnsi="Times New Roman" w:cs="Times New Roman"/>
          <w:sz w:val="24"/>
          <w:szCs w:val="24"/>
        </w:rPr>
        <w:t>l sector turístico</w:t>
      </w:r>
      <w:r w:rsidRPr="007D2CB1">
        <w:rPr>
          <w:rFonts w:ascii="Times New Roman" w:eastAsia="Times New Roman" w:hAnsi="Times New Roman" w:cs="Times New Roman"/>
          <w:sz w:val="24"/>
          <w:szCs w:val="24"/>
        </w:rPr>
        <w:t xml:space="preserve"> </w:t>
      </w:r>
      <w:r w:rsidR="00A672E6" w:rsidRPr="007D2CB1">
        <w:rPr>
          <w:rFonts w:ascii="Times New Roman" w:eastAsia="Times New Roman" w:hAnsi="Times New Roman" w:cs="Times New Roman"/>
          <w:sz w:val="24"/>
          <w:szCs w:val="24"/>
        </w:rPr>
        <w:t>de</w:t>
      </w:r>
      <w:r w:rsidR="00A672E6">
        <w:rPr>
          <w:rFonts w:ascii="Times New Roman" w:eastAsia="Times New Roman" w:hAnsi="Times New Roman" w:cs="Times New Roman"/>
          <w:sz w:val="24"/>
          <w:szCs w:val="24"/>
        </w:rPr>
        <w:t xml:space="preserve"> </w:t>
      </w:r>
      <w:r w:rsidRPr="00DF0B57">
        <w:rPr>
          <w:rFonts w:ascii="Times New Roman" w:eastAsia="Times New Roman" w:hAnsi="Times New Roman" w:cs="Times New Roman"/>
          <w:sz w:val="24"/>
          <w:szCs w:val="24"/>
        </w:rPr>
        <w:t xml:space="preserve">Cozumel. </w:t>
      </w:r>
    </w:p>
    <w:p w14:paraId="1CB02D91" w14:textId="77777777" w:rsidR="009E0FFC" w:rsidRPr="00DF0B57" w:rsidRDefault="009E0FFC" w:rsidP="001B4B99">
      <w:pPr>
        <w:spacing w:line="240" w:lineRule="auto"/>
        <w:jc w:val="both"/>
        <w:rPr>
          <w:rFonts w:ascii="Times New Roman" w:eastAsia="Times New Roman" w:hAnsi="Times New Roman" w:cs="Times New Roman"/>
          <w:sz w:val="24"/>
          <w:szCs w:val="24"/>
        </w:rPr>
      </w:pPr>
    </w:p>
    <w:p w14:paraId="2DD0CA86" w14:textId="77777777" w:rsidR="009E0FFC" w:rsidRPr="00DF0B57" w:rsidRDefault="006B1808" w:rsidP="001B4B99">
      <w:pPr>
        <w:spacing w:line="24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b/>
          <w:i/>
          <w:sz w:val="24"/>
          <w:szCs w:val="24"/>
        </w:rPr>
        <w:t>Palabras clave del autor:</w:t>
      </w:r>
      <w:r w:rsidRPr="00DF0B57">
        <w:rPr>
          <w:rFonts w:ascii="Times New Roman" w:eastAsia="Times New Roman" w:hAnsi="Times New Roman" w:cs="Times New Roman"/>
          <w:sz w:val="24"/>
          <w:szCs w:val="24"/>
        </w:rPr>
        <w:t xml:space="preserve"> Empleo, Covid-19, </w:t>
      </w:r>
      <w:proofErr w:type="gramStart"/>
      <w:r w:rsidRPr="00DF0B57">
        <w:rPr>
          <w:rFonts w:ascii="Times New Roman" w:eastAsia="Times New Roman" w:hAnsi="Times New Roman" w:cs="Times New Roman"/>
          <w:sz w:val="24"/>
          <w:szCs w:val="24"/>
        </w:rPr>
        <w:t>Turismo,  Cozumel</w:t>
      </w:r>
      <w:proofErr w:type="gramEnd"/>
      <w:r w:rsidRPr="00DF0B57">
        <w:rPr>
          <w:rFonts w:ascii="Times New Roman" w:eastAsia="Times New Roman" w:hAnsi="Times New Roman" w:cs="Times New Roman"/>
          <w:sz w:val="24"/>
          <w:szCs w:val="24"/>
        </w:rPr>
        <w:t>, Quintana Roo</w:t>
      </w:r>
    </w:p>
    <w:p w14:paraId="3DF64F05" w14:textId="77777777" w:rsidR="009E0FFC" w:rsidRPr="00DF0B57" w:rsidRDefault="006B1808" w:rsidP="001B4B99">
      <w:pPr>
        <w:spacing w:line="240" w:lineRule="auto"/>
        <w:jc w:val="both"/>
        <w:rPr>
          <w:rFonts w:ascii="Times New Roman" w:eastAsia="Times New Roman" w:hAnsi="Times New Roman" w:cs="Times New Roman"/>
          <w:sz w:val="24"/>
          <w:szCs w:val="24"/>
          <w:lang w:val="en-US"/>
        </w:rPr>
      </w:pPr>
      <w:r w:rsidRPr="00DF0B57">
        <w:rPr>
          <w:rFonts w:ascii="Times New Roman" w:eastAsia="Times New Roman" w:hAnsi="Times New Roman" w:cs="Times New Roman"/>
          <w:sz w:val="24"/>
          <w:szCs w:val="24"/>
          <w:lang w:val="en-US"/>
        </w:rPr>
        <w:t>Abstract: This non-experimental, descriptive and exploratory quantitative study aims to analyze the short-term impact of the Covid-19 pandemic on the employment of the Cozumel tourism sector, containment strategies and support for the population.  Emerging and official documents on pandemic behavior were consulted at the national, state and local levels.  An online survey was on Microsoft Forms with 356 responses; 82% of respondents declined their income. It is concluded that the closure of hotels, the fall of occupancy by up to 0%, the fall of 6.6% of cruisers and 63% cruise arrival compared to the previous year, exposes the vulnerability of employees of the tourism sector of Cozumel, it is suggested to diversify the offer to improve the living conditions of the inhabitants of the island.</w:t>
      </w:r>
    </w:p>
    <w:p w14:paraId="2D425294" w14:textId="7FC3AC3F" w:rsidR="009E0FFC" w:rsidRPr="00FD006E" w:rsidRDefault="006B1808" w:rsidP="001B4B99">
      <w:pPr>
        <w:spacing w:line="240" w:lineRule="auto"/>
        <w:jc w:val="both"/>
        <w:rPr>
          <w:rFonts w:ascii="Times New Roman" w:eastAsia="Times New Roman" w:hAnsi="Times New Roman" w:cs="Times New Roman"/>
          <w:sz w:val="24"/>
          <w:szCs w:val="24"/>
          <w:lang w:val="en-US"/>
        </w:rPr>
      </w:pPr>
      <w:r w:rsidRPr="00FD006E">
        <w:rPr>
          <w:rFonts w:ascii="Times New Roman" w:eastAsia="Times New Roman" w:hAnsi="Times New Roman" w:cs="Times New Roman"/>
          <w:b/>
          <w:i/>
          <w:sz w:val="24"/>
          <w:szCs w:val="24"/>
          <w:lang w:val="en-US"/>
        </w:rPr>
        <w:t>Keywords:</w:t>
      </w:r>
      <w:r w:rsidRPr="00FD006E">
        <w:rPr>
          <w:rFonts w:ascii="Times New Roman" w:eastAsia="Times New Roman" w:hAnsi="Times New Roman" w:cs="Times New Roman"/>
          <w:sz w:val="24"/>
          <w:szCs w:val="24"/>
          <w:lang w:val="en-US"/>
        </w:rPr>
        <w:t xml:space="preserve"> Employment, Covid-19, </w:t>
      </w:r>
      <w:r w:rsidR="00611799" w:rsidRPr="00FD006E">
        <w:rPr>
          <w:rFonts w:ascii="Times New Roman" w:eastAsia="Times New Roman" w:hAnsi="Times New Roman" w:cs="Times New Roman"/>
          <w:sz w:val="24"/>
          <w:szCs w:val="24"/>
          <w:lang w:val="en-US"/>
        </w:rPr>
        <w:t xml:space="preserve">Tourism, Cozumel, </w:t>
      </w:r>
      <w:r w:rsidRPr="00FD006E">
        <w:rPr>
          <w:rFonts w:ascii="Times New Roman" w:eastAsia="Times New Roman" w:hAnsi="Times New Roman" w:cs="Times New Roman"/>
          <w:sz w:val="24"/>
          <w:szCs w:val="24"/>
          <w:lang w:val="en-US"/>
        </w:rPr>
        <w:t>Quintana Roo</w:t>
      </w:r>
    </w:p>
    <w:p w14:paraId="6466B07C" w14:textId="77777777" w:rsidR="009E0FFC" w:rsidRPr="00FD006E" w:rsidRDefault="009E0FFC" w:rsidP="001B4B99">
      <w:pPr>
        <w:spacing w:line="240" w:lineRule="auto"/>
        <w:jc w:val="both"/>
        <w:rPr>
          <w:rFonts w:ascii="Times New Roman" w:eastAsia="Times New Roman" w:hAnsi="Times New Roman" w:cs="Times New Roman"/>
          <w:sz w:val="24"/>
          <w:szCs w:val="24"/>
          <w:lang w:val="en-US"/>
        </w:rPr>
      </w:pPr>
    </w:p>
    <w:p w14:paraId="528D7224" w14:textId="4D93102E" w:rsidR="009E0FFC" w:rsidRPr="001B67D4" w:rsidRDefault="006B1808" w:rsidP="001B4B99">
      <w:pPr>
        <w:pStyle w:val="Prrafodelista"/>
        <w:numPr>
          <w:ilvl w:val="0"/>
          <w:numId w:val="3"/>
        </w:numPr>
        <w:jc w:val="both"/>
        <w:rPr>
          <w:rFonts w:ascii="Times New Roman" w:eastAsia="Times New Roman" w:hAnsi="Times New Roman" w:cs="Times New Roman"/>
          <w:b/>
          <w:sz w:val="24"/>
          <w:szCs w:val="24"/>
        </w:rPr>
      </w:pPr>
      <w:r w:rsidRPr="001B67D4">
        <w:rPr>
          <w:rFonts w:ascii="Times New Roman" w:eastAsia="Times New Roman" w:hAnsi="Times New Roman" w:cs="Times New Roman"/>
          <w:b/>
          <w:sz w:val="24"/>
          <w:szCs w:val="24"/>
        </w:rPr>
        <w:t>Introducción</w:t>
      </w:r>
    </w:p>
    <w:p w14:paraId="1760BAE7" w14:textId="150D0EC6" w:rsidR="009E0FFC" w:rsidRPr="00DF0B57" w:rsidRDefault="006B1808" w:rsidP="001B4B99">
      <w:pPr>
        <w:spacing w:line="24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 xml:space="preserve">Como antecedente, tenemos que en el 2003 un </w:t>
      </w:r>
      <w:r w:rsidR="00B16FD8" w:rsidRPr="00DF0B57">
        <w:rPr>
          <w:rFonts w:ascii="Times New Roman" w:eastAsia="Times New Roman" w:hAnsi="Times New Roman" w:cs="Times New Roman"/>
          <w:sz w:val="24"/>
          <w:szCs w:val="24"/>
        </w:rPr>
        <w:t>caso epidémico</w:t>
      </w:r>
      <w:r w:rsidRPr="00DF0B57">
        <w:rPr>
          <w:rFonts w:ascii="Times New Roman" w:eastAsia="Times New Roman" w:hAnsi="Times New Roman" w:cs="Times New Roman"/>
          <w:sz w:val="24"/>
          <w:szCs w:val="24"/>
        </w:rPr>
        <w:t xml:space="preserve"> que causó afectaciones económicas al sector </w:t>
      </w:r>
      <w:r w:rsidR="00FD006E" w:rsidRPr="00DF0B57">
        <w:rPr>
          <w:rFonts w:ascii="Times New Roman" w:eastAsia="Times New Roman" w:hAnsi="Times New Roman" w:cs="Times New Roman"/>
          <w:sz w:val="24"/>
          <w:szCs w:val="24"/>
        </w:rPr>
        <w:t>turístico</w:t>
      </w:r>
      <w:r w:rsidRPr="00DF0B57">
        <w:rPr>
          <w:rFonts w:ascii="Times New Roman" w:eastAsia="Times New Roman" w:hAnsi="Times New Roman" w:cs="Times New Roman"/>
          <w:sz w:val="24"/>
          <w:szCs w:val="24"/>
        </w:rPr>
        <w:t xml:space="preserve"> fue el conocido como Síndrome Respiratorio Agudo Severo (SRAS), 29 países reportaron presencia de éste virus y ocasionó una fuerte caída en las actividades turísticas, un impacto económico </w:t>
      </w:r>
      <w:r w:rsidR="00EC7D4B">
        <w:rPr>
          <w:rFonts w:ascii="Times New Roman" w:eastAsia="Times New Roman" w:hAnsi="Times New Roman" w:cs="Times New Roman"/>
          <w:sz w:val="24"/>
          <w:szCs w:val="24"/>
        </w:rPr>
        <w:lastRenderedPageBreak/>
        <w:t xml:space="preserve">de carácter mundial, con afectación al </w:t>
      </w:r>
      <w:r w:rsidRPr="00DF0B57">
        <w:rPr>
          <w:rFonts w:ascii="Times New Roman" w:eastAsia="Times New Roman" w:hAnsi="Times New Roman" w:cs="Times New Roman"/>
          <w:sz w:val="24"/>
          <w:szCs w:val="24"/>
        </w:rPr>
        <w:t xml:space="preserve">comercio y </w:t>
      </w:r>
      <w:r w:rsidR="00EC7D4B">
        <w:rPr>
          <w:rFonts w:ascii="Times New Roman" w:eastAsia="Times New Roman" w:hAnsi="Times New Roman" w:cs="Times New Roman"/>
          <w:sz w:val="24"/>
          <w:szCs w:val="24"/>
        </w:rPr>
        <w:t xml:space="preserve">a los </w:t>
      </w:r>
      <w:r w:rsidRPr="00DF0B57">
        <w:rPr>
          <w:rFonts w:ascii="Times New Roman" w:eastAsia="Times New Roman" w:hAnsi="Times New Roman" w:cs="Times New Roman"/>
          <w:sz w:val="24"/>
          <w:szCs w:val="24"/>
        </w:rPr>
        <w:t>viajes internacionales (Auza-</w:t>
      </w:r>
      <w:proofErr w:type="spellStart"/>
      <w:r w:rsidRPr="00DF0B57">
        <w:rPr>
          <w:rFonts w:ascii="Times New Roman" w:eastAsia="Times New Roman" w:hAnsi="Times New Roman" w:cs="Times New Roman"/>
          <w:sz w:val="24"/>
          <w:szCs w:val="24"/>
        </w:rPr>
        <w:t>Santiváñez</w:t>
      </w:r>
      <w:proofErr w:type="spellEnd"/>
      <w:r w:rsidRPr="00DF0B57">
        <w:rPr>
          <w:rFonts w:ascii="Times New Roman" w:eastAsia="Times New Roman" w:hAnsi="Times New Roman" w:cs="Times New Roman"/>
          <w:sz w:val="24"/>
          <w:szCs w:val="24"/>
        </w:rPr>
        <w:t xml:space="preserve"> &amp; Dorta-Contreras, 2020; Madrid y Díaz, 2020, Richter </w:t>
      </w:r>
      <w:proofErr w:type="spellStart"/>
      <w:r w:rsidRPr="00DF0B57">
        <w:rPr>
          <w:rFonts w:ascii="Times New Roman" w:eastAsia="Times New Roman" w:hAnsi="Times New Roman" w:cs="Times New Roman"/>
          <w:sz w:val="24"/>
          <w:szCs w:val="24"/>
        </w:rPr>
        <w:t>Songhurst</w:t>
      </w:r>
      <w:proofErr w:type="spellEnd"/>
      <w:r w:rsidRPr="00DF0B57">
        <w:rPr>
          <w:rFonts w:ascii="Times New Roman" w:eastAsia="Times New Roman" w:hAnsi="Times New Roman" w:cs="Times New Roman"/>
          <w:sz w:val="24"/>
          <w:szCs w:val="24"/>
        </w:rPr>
        <w:t>; 2014). Por otra parte, la Influenza (AH1N1), fue identificada en abril de 2009 en Estados Unidos de Norteamérica, luego en México y Canadá (</w:t>
      </w:r>
      <w:proofErr w:type="spellStart"/>
      <w:r w:rsidRPr="00DF0B57">
        <w:rPr>
          <w:rFonts w:ascii="Times New Roman" w:eastAsia="Times New Roman" w:hAnsi="Times New Roman" w:cs="Times New Roman"/>
          <w:sz w:val="24"/>
          <w:szCs w:val="24"/>
        </w:rPr>
        <w:t>Dawood</w:t>
      </w:r>
      <w:proofErr w:type="spellEnd"/>
      <w:r w:rsidRPr="00DF0B57">
        <w:rPr>
          <w:rFonts w:ascii="Times New Roman" w:eastAsia="Times New Roman" w:hAnsi="Times New Roman" w:cs="Times New Roman"/>
          <w:sz w:val="24"/>
          <w:szCs w:val="24"/>
        </w:rPr>
        <w:t xml:space="preserve"> </w:t>
      </w:r>
      <w:r w:rsidRPr="00DF0B57">
        <w:rPr>
          <w:rFonts w:ascii="Times New Roman" w:eastAsia="Times New Roman" w:hAnsi="Times New Roman" w:cs="Times New Roman"/>
          <w:i/>
          <w:sz w:val="24"/>
          <w:szCs w:val="24"/>
        </w:rPr>
        <w:t>et. al</w:t>
      </w:r>
      <w:r w:rsidRPr="00DF0B57">
        <w:rPr>
          <w:rFonts w:ascii="Times New Roman" w:eastAsia="Times New Roman" w:hAnsi="Times New Roman" w:cs="Times New Roman"/>
          <w:sz w:val="24"/>
          <w:szCs w:val="24"/>
        </w:rPr>
        <w:t xml:space="preserve">, 2009). En México, los problemas de salud se elevaron por la Influenza (AH1N1), pero también la economía del país se vio afectada por la cancelación de viajes, </w:t>
      </w:r>
      <w:r w:rsidR="00EC7D4B">
        <w:rPr>
          <w:rFonts w:ascii="Times New Roman" w:eastAsia="Times New Roman" w:hAnsi="Times New Roman" w:cs="Times New Roman"/>
          <w:sz w:val="24"/>
          <w:szCs w:val="24"/>
        </w:rPr>
        <w:t>baja o nula entra de turismo y divisas</w:t>
      </w:r>
      <w:r w:rsidRPr="00DF0B57">
        <w:rPr>
          <w:rFonts w:ascii="Times New Roman" w:eastAsia="Times New Roman" w:hAnsi="Times New Roman" w:cs="Times New Roman"/>
          <w:sz w:val="24"/>
          <w:szCs w:val="24"/>
        </w:rPr>
        <w:t>. Asimismo, en Cancún y la Riviera Maya se registró un desplome de ocupación del 25 y 30 por ciento, las compañías navieras disminuyeron y/o cancelaron la llegada de buques a Cozumel (</w:t>
      </w:r>
      <w:proofErr w:type="spellStart"/>
      <w:r w:rsidRPr="00DF0B57">
        <w:rPr>
          <w:rFonts w:ascii="Times New Roman" w:eastAsia="Times New Roman" w:hAnsi="Times New Roman" w:cs="Times New Roman"/>
          <w:sz w:val="24"/>
          <w:szCs w:val="24"/>
        </w:rPr>
        <w:t>Oehmichen</w:t>
      </w:r>
      <w:proofErr w:type="spellEnd"/>
      <w:r w:rsidRPr="00DF0B57">
        <w:rPr>
          <w:rFonts w:ascii="Times New Roman" w:eastAsia="Times New Roman" w:hAnsi="Times New Roman" w:cs="Times New Roman"/>
          <w:sz w:val="24"/>
          <w:szCs w:val="24"/>
        </w:rPr>
        <w:t>-Bazán, &amp; Pombo, 2010; Barragán, 2009; Madrid y Díaz, 2020), lo que impidió que arribaran al Caribe mexicano casi 100 mil turistas en el año 2003 (Águila, 2020). Se estimó en aquel momento una pérdida de aproximadamente 30 mil empleos directos en la zona del Caribe de México (</w:t>
      </w:r>
      <w:proofErr w:type="spellStart"/>
      <w:r w:rsidRPr="00DF0B57">
        <w:rPr>
          <w:rFonts w:ascii="Times New Roman" w:eastAsia="Times New Roman" w:hAnsi="Times New Roman" w:cs="Times New Roman"/>
          <w:sz w:val="24"/>
          <w:szCs w:val="24"/>
        </w:rPr>
        <w:t>Oehmichen</w:t>
      </w:r>
      <w:proofErr w:type="spellEnd"/>
      <w:r w:rsidRPr="00DF0B57">
        <w:rPr>
          <w:rFonts w:ascii="Times New Roman" w:eastAsia="Times New Roman" w:hAnsi="Times New Roman" w:cs="Times New Roman"/>
          <w:sz w:val="24"/>
          <w:szCs w:val="24"/>
        </w:rPr>
        <w:t>-Bazán, &amp; Pombo, 2010).</w:t>
      </w:r>
    </w:p>
    <w:p w14:paraId="74EEF200" w14:textId="4E31D2C2" w:rsidR="009E0FFC" w:rsidRPr="00DF0B57" w:rsidRDefault="006B1808" w:rsidP="001B4B99">
      <w:pPr>
        <w:spacing w:line="24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Para finales de 2019 en China se detectó una enfermedad dentro de los Coronavirus denominada SARS-COV-2, ante esa situación la Organización Mundial de la Salud (OMS, 2020), el 30 de enero del año 2020 emitió comunicado oficial sobre la emergencia de salud pública, que rápidamente se convirtió en u</w:t>
      </w:r>
      <w:r w:rsidR="001E3024">
        <w:rPr>
          <w:rFonts w:ascii="Times New Roman" w:eastAsia="Times New Roman" w:hAnsi="Times New Roman" w:cs="Times New Roman"/>
          <w:sz w:val="24"/>
          <w:szCs w:val="24"/>
        </w:rPr>
        <w:t xml:space="preserve">na pandemia, llamada Covid-19 </w:t>
      </w:r>
      <w:r w:rsidRPr="00DF0B57">
        <w:rPr>
          <w:rFonts w:ascii="Times New Roman" w:eastAsia="Times New Roman" w:hAnsi="Times New Roman" w:cs="Times New Roman"/>
          <w:sz w:val="24"/>
          <w:szCs w:val="24"/>
        </w:rPr>
        <w:t xml:space="preserve">(Cabezas, 2020, </w:t>
      </w:r>
      <w:proofErr w:type="spellStart"/>
      <w:r w:rsidRPr="00DF0B57">
        <w:rPr>
          <w:rFonts w:ascii="Times New Roman" w:eastAsia="Times New Roman" w:hAnsi="Times New Roman" w:cs="Times New Roman"/>
          <w:sz w:val="24"/>
          <w:szCs w:val="24"/>
        </w:rPr>
        <w:t>Dieckow</w:t>
      </w:r>
      <w:proofErr w:type="spellEnd"/>
      <w:r w:rsidRPr="00DF0B57">
        <w:rPr>
          <w:rFonts w:ascii="Times New Roman" w:eastAsia="Times New Roman" w:hAnsi="Times New Roman" w:cs="Times New Roman"/>
          <w:sz w:val="24"/>
          <w:szCs w:val="24"/>
        </w:rPr>
        <w:t>, 2020). En México, el 28 de febrero fue confirmado el primer caso; el 13 de marzo en Quintana Roo y, en Cozumel, el 29 de marzo, todo ello bajo una coordinación interinstitucional emitido por la Secretaría de Salud del estado de Quintana Roo (SESA, 2020). Algunas medidas de seguridad tomadas por el gobierno mexicano para evitar la propagación del virus, fue a través de decretos que ordenaron el confinamiento con excepciones para salir al trabajo, por alimentos y atención médica, el cierre de escuelas, de espacios de esparcimiento y uso público, se reprogramaron o cancelaron eventos de concentración masiva, así como el cierre de negocios considerados como no esenciales y dando prioridad aquellos de atención a las necesidades primarias y de emergencia (</w:t>
      </w:r>
      <w:proofErr w:type="spellStart"/>
      <w:r w:rsidRPr="00DF0B57">
        <w:rPr>
          <w:rFonts w:ascii="Times New Roman" w:eastAsia="Times New Roman" w:hAnsi="Times New Roman" w:cs="Times New Roman"/>
          <w:sz w:val="24"/>
          <w:szCs w:val="24"/>
        </w:rPr>
        <w:t>Gualani</w:t>
      </w:r>
      <w:proofErr w:type="spellEnd"/>
      <w:r w:rsidRPr="00DF0B57">
        <w:rPr>
          <w:rFonts w:ascii="Times New Roman" w:eastAsia="Times New Roman" w:hAnsi="Times New Roman" w:cs="Times New Roman"/>
          <w:sz w:val="24"/>
          <w:szCs w:val="24"/>
        </w:rPr>
        <w:t xml:space="preserve"> y García-Rosales, 2020; Secretaría de Salud, 2020; Enciso, 2020).</w:t>
      </w:r>
    </w:p>
    <w:p w14:paraId="0DC6F226" w14:textId="32649878" w:rsidR="009E0FFC" w:rsidRPr="00DF0B57" w:rsidRDefault="00EC7D4B" w:rsidP="001B4B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reporte de febrero del año </w:t>
      </w:r>
      <w:r w:rsidR="006B1808" w:rsidRPr="00DF0B57">
        <w:rPr>
          <w:rFonts w:ascii="Times New Roman" w:eastAsia="Times New Roman" w:hAnsi="Times New Roman" w:cs="Times New Roman"/>
          <w:sz w:val="24"/>
          <w:szCs w:val="24"/>
        </w:rPr>
        <w:t xml:space="preserve">2020, el turismo </w:t>
      </w:r>
      <w:r>
        <w:rPr>
          <w:rFonts w:ascii="Times New Roman" w:eastAsia="Times New Roman" w:hAnsi="Times New Roman" w:cs="Times New Roman"/>
          <w:sz w:val="24"/>
          <w:szCs w:val="24"/>
        </w:rPr>
        <w:t xml:space="preserve">contribuyó </w:t>
      </w:r>
      <w:r w:rsidR="006B1808" w:rsidRPr="00DF0B57">
        <w:rPr>
          <w:rFonts w:ascii="Times New Roman" w:eastAsia="Times New Roman" w:hAnsi="Times New Roman" w:cs="Times New Roman"/>
          <w:sz w:val="24"/>
          <w:szCs w:val="24"/>
        </w:rPr>
        <w:t>a la economía mundial, un 10.3% del Producto Interno Bruto (PIB), uno de cada 10 empleos y en el caso de México, su contribución al PIB era del 8.9</w:t>
      </w:r>
      <w:proofErr w:type="gramStart"/>
      <w:r w:rsidR="006B1808" w:rsidRPr="00DF0B57">
        <w:rPr>
          <w:rFonts w:ascii="Times New Roman" w:eastAsia="Times New Roman" w:hAnsi="Times New Roman" w:cs="Times New Roman"/>
          <w:sz w:val="24"/>
          <w:szCs w:val="24"/>
        </w:rPr>
        <w:t>%  y</w:t>
      </w:r>
      <w:proofErr w:type="gramEnd"/>
      <w:r w:rsidR="006B1808" w:rsidRPr="00DF0B57">
        <w:rPr>
          <w:rFonts w:ascii="Times New Roman" w:eastAsia="Times New Roman" w:hAnsi="Times New Roman" w:cs="Times New Roman"/>
          <w:sz w:val="24"/>
          <w:szCs w:val="24"/>
        </w:rPr>
        <w:t xml:space="preserve"> un 9% de empleos formales (Organización Mundial del </w:t>
      </w:r>
      <w:proofErr w:type="spellStart"/>
      <w:r w:rsidR="006B1808" w:rsidRPr="00DF0B57">
        <w:rPr>
          <w:rFonts w:ascii="Times New Roman" w:eastAsia="Times New Roman" w:hAnsi="Times New Roman" w:cs="Times New Roman"/>
          <w:sz w:val="24"/>
          <w:szCs w:val="24"/>
        </w:rPr>
        <w:t>Turismo.WTO</w:t>
      </w:r>
      <w:proofErr w:type="spellEnd"/>
      <w:r w:rsidR="006B1808" w:rsidRPr="00DF0B57">
        <w:rPr>
          <w:rFonts w:ascii="Times New Roman" w:eastAsia="Times New Roman" w:hAnsi="Times New Roman" w:cs="Times New Roman"/>
          <w:sz w:val="24"/>
          <w:szCs w:val="24"/>
        </w:rPr>
        <w:t xml:space="preserve">, 2020). Sin embargo, la pandemia </w:t>
      </w:r>
      <w:r w:rsidR="001E3024">
        <w:rPr>
          <w:rFonts w:ascii="Times New Roman" w:eastAsia="Times New Roman" w:hAnsi="Times New Roman" w:cs="Times New Roman"/>
          <w:sz w:val="24"/>
          <w:szCs w:val="24"/>
        </w:rPr>
        <w:t xml:space="preserve">trajo consigo la paralización </w:t>
      </w:r>
      <w:r w:rsidR="006B1808" w:rsidRPr="00DF0B57">
        <w:rPr>
          <w:rFonts w:ascii="Times New Roman" w:eastAsia="Times New Roman" w:hAnsi="Times New Roman" w:cs="Times New Roman"/>
          <w:sz w:val="24"/>
          <w:szCs w:val="24"/>
        </w:rPr>
        <w:t>del flujo de turistas, a partir del mes de abril el 100% de los destinos mundiales ya habían implementado restricciones de movilidad, para el 1 de noviembre el rápido incremento en los c</w:t>
      </w:r>
      <w:r w:rsidR="001E3024">
        <w:rPr>
          <w:rFonts w:ascii="Times New Roman" w:eastAsia="Times New Roman" w:hAnsi="Times New Roman" w:cs="Times New Roman"/>
          <w:sz w:val="24"/>
          <w:szCs w:val="24"/>
        </w:rPr>
        <w:t>ontagios y defunciones, ocasionó</w:t>
      </w:r>
      <w:r w:rsidR="006B1808" w:rsidRPr="00DF0B57">
        <w:rPr>
          <w:rFonts w:ascii="Times New Roman" w:eastAsia="Times New Roman" w:hAnsi="Times New Roman" w:cs="Times New Roman"/>
          <w:sz w:val="24"/>
          <w:szCs w:val="24"/>
        </w:rPr>
        <w:t xml:space="preserve"> que el 27% de los destinos cerrara</w:t>
      </w:r>
      <w:r w:rsidR="001E3024">
        <w:rPr>
          <w:rFonts w:ascii="Times New Roman" w:eastAsia="Times New Roman" w:hAnsi="Times New Roman" w:cs="Times New Roman"/>
          <w:sz w:val="24"/>
          <w:szCs w:val="24"/>
        </w:rPr>
        <w:t>n</w:t>
      </w:r>
      <w:r w:rsidR="006B1808" w:rsidRPr="00DF0B57">
        <w:rPr>
          <w:rFonts w:ascii="Times New Roman" w:eastAsia="Times New Roman" w:hAnsi="Times New Roman" w:cs="Times New Roman"/>
          <w:sz w:val="24"/>
          <w:szCs w:val="24"/>
        </w:rPr>
        <w:t xml:space="preserve"> sus fronteras para el ingreso del turismo internacional y en consecuencia la caída de los principales indicadores, disminución en la llegada de turistas extranjeros, un aproximado de 1000 millones (74% con respecto al año anterior) y </w:t>
      </w:r>
      <w:r w:rsidR="00D078D6">
        <w:rPr>
          <w:rFonts w:ascii="Times New Roman" w:eastAsia="Times New Roman" w:hAnsi="Times New Roman" w:cs="Times New Roman"/>
          <w:sz w:val="24"/>
          <w:szCs w:val="24"/>
        </w:rPr>
        <w:t xml:space="preserve">una disminución </w:t>
      </w:r>
      <w:r w:rsidR="006B1808" w:rsidRPr="00DF0B57">
        <w:rPr>
          <w:rFonts w:ascii="Times New Roman" w:eastAsia="Times New Roman" w:hAnsi="Times New Roman" w:cs="Times New Roman"/>
          <w:sz w:val="24"/>
          <w:szCs w:val="24"/>
        </w:rPr>
        <w:t>de ingresos alrededor de 1.1 billones de dólares, pérdida estimada en el PIB global por encima de 2 billones d</w:t>
      </w:r>
      <w:r w:rsidR="001E3024">
        <w:rPr>
          <w:rFonts w:ascii="Times New Roman" w:eastAsia="Times New Roman" w:hAnsi="Times New Roman" w:cs="Times New Roman"/>
          <w:sz w:val="24"/>
          <w:szCs w:val="24"/>
        </w:rPr>
        <w:t xml:space="preserve">e dólares y el riesgo de perder </w:t>
      </w:r>
      <w:r w:rsidR="006B1808" w:rsidRPr="00DF0B57">
        <w:rPr>
          <w:rFonts w:ascii="Times New Roman" w:eastAsia="Times New Roman" w:hAnsi="Times New Roman" w:cs="Times New Roman"/>
          <w:sz w:val="24"/>
          <w:szCs w:val="24"/>
        </w:rPr>
        <w:t xml:space="preserve">por el COVID-19 entre 100 y 120 millones empleos directos (WTO, 2020). Con los datos anteriores no podemos negar la importancia económica de la actividad turística y su evidente impacto en la economía de los países. </w:t>
      </w:r>
    </w:p>
    <w:p w14:paraId="244450EE" w14:textId="77777777" w:rsidR="009E0FFC" w:rsidRPr="00DF0B57" w:rsidRDefault="009E0FFC" w:rsidP="001B4B99">
      <w:pPr>
        <w:spacing w:after="0" w:line="240" w:lineRule="auto"/>
        <w:jc w:val="both"/>
        <w:rPr>
          <w:rFonts w:ascii="Times New Roman" w:eastAsia="Times New Roman" w:hAnsi="Times New Roman" w:cs="Times New Roman"/>
          <w:sz w:val="24"/>
          <w:szCs w:val="24"/>
        </w:rPr>
      </w:pPr>
    </w:p>
    <w:p w14:paraId="6BE18BFB" w14:textId="77777777" w:rsidR="009E0FFC" w:rsidRPr="00DF0B57" w:rsidRDefault="006B1808" w:rsidP="001B4B99">
      <w:pPr>
        <w:spacing w:line="24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 xml:space="preserve">Otros eventos que pueden tener una fuerte influencia sobre el turismo son los ocasionados por las tormentas tropicales Martínez, </w:t>
      </w:r>
      <w:r w:rsidRPr="00DF0B57">
        <w:rPr>
          <w:rFonts w:ascii="Times New Roman" w:eastAsia="Times New Roman" w:hAnsi="Times New Roman" w:cs="Times New Roman"/>
          <w:i/>
          <w:sz w:val="24"/>
          <w:szCs w:val="24"/>
        </w:rPr>
        <w:t>et a</w:t>
      </w:r>
      <w:r w:rsidRPr="00DF0B57">
        <w:rPr>
          <w:rFonts w:ascii="Times New Roman" w:eastAsia="Times New Roman" w:hAnsi="Times New Roman" w:cs="Times New Roman"/>
          <w:sz w:val="24"/>
          <w:szCs w:val="24"/>
        </w:rPr>
        <w:t>l (2020), así como la inestabilidad económica, factores sociales y políticos, que llevan a pensar que la economía de un país es débil (Arellano &amp; Chapa, 2017). La planta laboral del sector turístico vive en un alto nivel de incertidumbre por una parte la inseguridad nacional, el impacto de fenómenos meteorológicos, sismos y por la otra las epidemias como el SRAS, la AH1N1 (</w:t>
      </w:r>
      <w:proofErr w:type="spellStart"/>
      <w:r w:rsidRPr="00DF0B57">
        <w:rPr>
          <w:rFonts w:ascii="Times New Roman" w:eastAsia="Times New Roman" w:hAnsi="Times New Roman" w:cs="Times New Roman"/>
          <w:sz w:val="24"/>
          <w:szCs w:val="24"/>
        </w:rPr>
        <w:t>Dawood</w:t>
      </w:r>
      <w:proofErr w:type="spellEnd"/>
      <w:r w:rsidRPr="00DF0B57">
        <w:rPr>
          <w:rFonts w:ascii="Times New Roman" w:eastAsia="Times New Roman" w:hAnsi="Times New Roman" w:cs="Times New Roman"/>
          <w:sz w:val="24"/>
          <w:szCs w:val="24"/>
        </w:rPr>
        <w:t>, F. et al., 2009, Fernández, 2021) y actualmente el Covid-19 (</w:t>
      </w:r>
      <w:proofErr w:type="spellStart"/>
      <w:r w:rsidRPr="00DF0B57">
        <w:rPr>
          <w:rFonts w:ascii="Times New Roman" w:eastAsia="Times New Roman" w:hAnsi="Times New Roman" w:cs="Times New Roman"/>
          <w:sz w:val="24"/>
          <w:szCs w:val="24"/>
        </w:rPr>
        <w:t>Paixão</w:t>
      </w:r>
      <w:proofErr w:type="spellEnd"/>
      <w:r w:rsidRPr="00DF0B57">
        <w:rPr>
          <w:rFonts w:ascii="Times New Roman" w:eastAsia="Times New Roman" w:hAnsi="Times New Roman" w:cs="Times New Roman"/>
          <w:sz w:val="24"/>
          <w:szCs w:val="24"/>
        </w:rPr>
        <w:t xml:space="preserve">, </w:t>
      </w:r>
      <w:r w:rsidRPr="00DF0B57">
        <w:rPr>
          <w:rFonts w:ascii="Times New Roman" w:eastAsia="Times New Roman" w:hAnsi="Times New Roman" w:cs="Times New Roman"/>
          <w:i/>
          <w:sz w:val="24"/>
          <w:szCs w:val="24"/>
        </w:rPr>
        <w:t>et al</w:t>
      </w:r>
      <w:r w:rsidRPr="00DF0B57">
        <w:rPr>
          <w:rFonts w:ascii="Times New Roman" w:eastAsia="Times New Roman" w:hAnsi="Times New Roman" w:cs="Times New Roman"/>
          <w:sz w:val="24"/>
          <w:szCs w:val="24"/>
        </w:rPr>
        <w:t xml:space="preserve">., 2021). </w:t>
      </w:r>
    </w:p>
    <w:p w14:paraId="46C40E00" w14:textId="50E9C8D6" w:rsidR="009E0FFC" w:rsidRPr="00DF0B57" w:rsidRDefault="006B1808" w:rsidP="001B4B99">
      <w:pPr>
        <w:spacing w:line="24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 xml:space="preserve">La investigación se abordó desde la postura teórica de los efectos económicos propuestos por Sancho (2006), quien reconoce que, una caída de la demanda turística genera una disminución en el consumo de bienes locales, menos ingreso, pérdida de empleo y en consecuencia el del salario. En ese mismo sentido, el efecto multiplicador no favorece a los demás sectores relacionados y con ello a los residentes del destino (Sancho, 2006). Los impactos económicos en los destinos y las empresas se han abordado por </w:t>
      </w:r>
      <w:proofErr w:type="spellStart"/>
      <w:r w:rsidRPr="00DF0B57">
        <w:rPr>
          <w:rFonts w:ascii="Times New Roman" w:eastAsia="Times New Roman" w:hAnsi="Times New Roman" w:cs="Times New Roman"/>
          <w:sz w:val="24"/>
          <w:szCs w:val="24"/>
        </w:rPr>
        <w:lastRenderedPageBreak/>
        <w:t>Dieckow</w:t>
      </w:r>
      <w:proofErr w:type="spellEnd"/>
      <w:r w:rsidRPr="00DF0B57">
        <w:rPr>
          <w:rFonts w:ascii="Times New Roman" w:eastAsia="Times New Roman" w:hAnsi="Times New Roman" w:cs="Times New Roman"/>
          <w:sz w:val="24"/>
          <w:szCs w:val="24"/>
        </w:rPr>
        <w:t xml:space="preserve"> (2020), </w:t>
      </w:r>
      <w:r w:rsidRPr="00AF483F">
        <w:rPr>
          <w:rFonts w:ascii="Times New Roman" w:eastAsia="Times New Roman" w:hAnsi="Times New Roman" w:cs="Times New Roman"/>
          <w:sz w:val="24"/>
          <w:szCs w:val="24"/>
        </w:rPr>
        <w:t xml:space="preserve">quien refiere que los efectos por COVID-19 han sido inmediatos y muy graves, sobre todo en aquellos donde el turismo es </w:t>
      </w:r>
      <w:r w:rsidR="001E3024" w:rsidRPr="00AF483F">
        <w:rPr>
          <w:rFonts w:ascii="Times New Roman" w:eastAsia="Times New Roman" w:hAnsi="Times New Roman" w:cs="Times New Roman"/>
          <w:sz w:val="24"/>
          <w:szCs w:val="24"/>
        </w:rPr>
        <w:t>relevante como actividad</w:t>
      </w:r>
      <w:r w:rsidRPr="00AF483F">
        <w:rPr>
          <w:rFonts w:ascii="Times New Roman" w:eastAsia="Times New Roman" w:hAnsi="Times New Roman" w:cs="Times New Roman"/>
          <w:sz w:val="24"/>
          <w:szCs w:val="24"/>
        </w:rPr>
        <w:t xml:space="preserve"> económi</w:t>
      </w:r>
      <w:r w:rsidR="001E3024" w:rsidRPr="00AF483F">
        <w:rPr>
          <w:rFonts w:ascii="Times New Roman" w:eastAsia="Times New Roman" w:hAnsi="Times New Roman" w:cs="Times New Roman"/>
          <w:sz w:val="24"/>
          <w:szCs w:val="24"/>
        </w:rPr>
        <w:t>ca, Fernández</w:t>
      </w:r>
      <w:r w:rsidR="001E3024">
        <w:rPr>
          <w:rFonts w:ascii="Times New Roman" w:eastAsia="Times New Roman" w:hAnsi="Times New Roman" w:cs="Times New Roman"/>
          <w:sz w:val="24"/>
          <w:szCs w:val="24"/>
        </w:rPr>
        <w:t xml:space="preserve"> (2020) calcu</w:t>
      </w:r>
      <w:r w:rsidR="001E3024" w:rsidRPr="00DF0B57">
        <w:rPr>
          <w:rFonts w:ascii="Times New Roman" w:eastAsia="Times New Roman" w:hAnsi="Times New Roman" w:cs="Times New Roman"/>
          <w:sz w:val="24"/>
          <w:szCs w:val="24"/>
        </w:rPr>
        <w:t>la</w:t>
      </w:r>
      <w:r w:rsidRPr="00DF0B57">
        <w:rPr>
          <w:rFonts w:ascii="Times New Roman" w:eastAsia="Times New Roman" w:hAnsi="Times New Roman" w:cs="Times New Roman"/>
          <w:sz w:val="24"/>
          <w:szCs w:val="24"/>
        </w:rPr>
        <w:t xml:space="preserve"> los impactos por pandemias del siglo XXI y los indicadores económicos y sobre todo en el sector turístico. </w:t>
      </w:r>
    </w:p>
    <w:p w14:paraId="6A59EC8A" w14:textId="6B36C169" w:rsidR="009E0FFC" w:rsidRPr="00DF0B57" w:rsidRDefault="006B1808" w:rsidP="001B4B99">
      <w:pPr>
        <w:spacing w:line="24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 xml:space="preserve">Por su parte </w:t>
      </w:r>
      <w:r w:rsidRPr="00AF483F">
        <w:rPr>
          <w:rFonts w:ascii="Times New Roman" w:eastAsia="Times New Roman" w:hAnsi="Times New Roman" w:cs="Times New Roman"/>
          <w:sz w:val="24"/>
          <w:szCs w:val="24"/>
        </w:rPr>
        <w:t>Falcón, Sánchez &amp; Fernández, (2020) muestran los impactos de la pandemia en el turismo y hacen énfasis en la reducción de la actividad turística, el tráfico aéreo de pasajeros y la actividad hotelera. Páez (2020) menciona</w:t>
      </w:r>
      <w:r w:rsidRPr="00DF0B57">
        <w:rPr>
          <w:rFonts w:ascii="Times New Roman" w:eastAsia="Times New Roman" w:hAnsi="Times New Roman" w:cs="Times New Roman"/>
          <w:sz w:val="24"/>
          <w:szCs w:val="24"/>
        </w:rPr>
        <w:t xml:space="preserve"> que el cálculo de los impactos económicos ocasionados por el COVID-19 en el sector turístico arrojará cifras mayores que las publicadas, ya que se han presentado hasta cierto punto conservadoras, </w:t>
      </w:r>
      <w:proofErr w:type="spellStart"/>
      <w:r w:rsidRPr="00DF0B57">
        <w:rPr>
          <w:rFonts w:ascii="Times New Roman" w:eastAsia="Times New Roman" w:hAnsi="Times New Roman" w:cs="Times New Roman"/>
          <w:sz w:val="24"/>
          <w:szCs w:val="24"/>
        </w:rPr>
        <w:t>Nodar</w:t>
      </w:r>
      <w:proofErr w:type="spellEnd"/>
      <w:r w:rsidRPr="00DF0B57">
        <w:rPr>
          <w:rFonts w:ascii="Times New Roman" w:eastAsia="Times New Roman" w:hAnsi="Times New Roman" w:cs="Times New Roman"/>
          <w:sz w:val="24"/>
          <w:szCs w:val="24"/>
        </w:rPr>
        <w:t xml:space="preserve"> (2020), muestra que los indicadores turísticos presentan resultados negativos, esto </w:t>
      </w:r>
      <w:r w:rsidRPr="00AF483F">
        <w:rPr>
          <w:rFonts w:ascii="Times New Roman" w:eastAsia="Times New Roman" w:hAnsi="Times New Roman" w:cs="Times New Roman"/>
          <w:sz w:val="24"/>
          <w:szCs w:val="24"/>
        </w:rPr>
        <w:t>es preocupante para la economía de un país y también deja al descubierto la debilidad del individuo (Palafox y Rubí, 2020). Con ello podemos afirmar que, en un contexto de crisis, los estudios de impacto económico resultan importantes</w:t>
      </w:r>
      <w:r w:rsidRPr="00DF0B57">
        <w:rPr>
          <w:rFonts w:ascii="Times New Roman" w:eastAsia="Times New Roman" w:hAnsi="Times New Roman" w:cs="Times New Roman"/>
          <w:sz w:val="24"/>
          <w:szCs w:val="24"/>
        </w:rPr>
        <w:t xml:space="preserve"> para las administraciones </w:t>
      </w:r>
      <w:r w:rsidRPr="00EC7D4B">
        <w:rPr>
          <w:rFonts w:ascii="Times New Roman" w:eastAsia="Times New Roman" w:hAnsi="Times New Roman" w:cs="Times New Roman"/>
          <w:sz w:val="24"/>
          <w:szCs w:val="24"/>
        </w:rPr>
        <w:t xml:space="preserve">públicas, </w:t>
      </w:r>
      <w:r w:rsidR="00EC7D4B" w:rsidRPr="00EC7D4B">
        <w:rPr>
          <w:rFonts w:ascii="Times New Roman" w:eastAsia="Times New Roman" w:hAnsi="Times New Roman" w:cs="Times New Roman"/>
          <w:sz w:val="24"/>
          <w:szCs w:val="24"/>
        </w:rPr>
        <w:t xml:space="preserve">ya que pueden visualizar de forma cualitativa y cuantitativa las afectaciones y establecer estrategias para el retorno de sus inversiones, privilegiando aquellos </w:t>
      </w:r>
      <w:r w:rsidRPr="00EC7D4B">
        <w:rPr>
          <w:rFonts w:ascii="Times New Roman" w:eastAsia="Times New Roman" w:hAnsi="Times New Roman" w:cs="Times New Roman"/>
          <w:sz w:val="24"/>
          <w:szCs w:val="24"/>
        </w:rPr>
        <w:t xml:space="preserve">proyectos o actividades que generan un </w:t>
      </w:r>
      <w:r w:rsidR="00EC7D4B" w:rsidRPr="00EC7D4B">
        <w:rPr>
          <w:rFonts w:ascii="Times New Roman" w:eastAsia="Times New Roman" w:hAnsi="Times New Roman" w:cs="Times New Roman"/>
          <w:sz w:val="24"/>
          <w:szCs w:val="24"/>
        </w:rPr>
        <w:t>mayor beneficio para la comunidad</w:t>
      </w:r>
      <w:r w:rsidRPr="00AF483F">
        <w:rPr>
          <w:rFonts w:ascii="Times New Roman" w:eastAsia="Times New Roman" w:hAnsi="Times New Roman" w:cs="Times New Roman"/>
          <w:sz w:val="24"/>
          <w:szCs w:val="24"/>
        </w:rPr>
        <w:t xml:space="preserve"> (</w:t>
      </w:r>
      <w:proofErr w:type="spellStart"/>
      <w:r w:rsidRPr="00AF483F">
        <w:rPr>
          <w:rFonts w:ascii="Times New Roman" w:eastAsia="Times New Roman" w:hAnsi="Times New Roman" w:cs="Times New Roman"/>
          <w:sz w:val="24"/>
          <w:szCs w:val="24"/>
        </w:rPr>
        <w:t>Pwc</w:t>
      </w:r>
      <w:proofErr w:type="spellEnd"/>
      <w:r w:rsidRPr="00AF483F">
        <w:rPr>
          <w:rFonts w:ascii="Times New Roman" w:eastAsia="Times New Roman" w:hAnsi="Times New Roman" w:cs="Times New Roman"/>
          <w:sz w:val="24"/>
          <w:szCs w:val="24"/>
        </w:rPr>
        <w:t>, 2012). Pero</w:t>
      </w:r>
      <w:r w:rsidRPr="00DF0B57">
        <w:rPr>
          <w:rFonts w:ascii="Times New Roman" w:eastAsia="Times New Roman" w:hAnsi="Times New Roman" w:cs="Times New Roman"/>
          <w:sz w:val="24"/>
          <w:szCs w:val="24"/>
        </w:rPr>
        <w:t xml:space="preserve"> sobre todo no perder de vista que es prioridad proveer de mayor seguridad laboral a los colaboradores, lo que coadyuvará a que sobrelleven de mejor forma este tipo de contingencias.</w:t>
      </w:r>
    </w:p>
    <w:p w14:paraId="16D46278" w14:textId="69F03A99" w:rsidR="009E0FFC" w:rsidRPr="00DF0B57" w:rsidRDefault="00FD006E" w:rsidP="001B4B9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presente investigación </w:t>
      </w:r>
      <w:r w:rsidR="006B1808" w:rsidRPr="00DF0B57">
        <w:rPr>
          <w:rFonts w:ascii="Times New Roman" w:eastAsia="Times New Roman" w:hAnsi="Times New Roman" w:cs="Times New Roman"/>
          <w:sz w:val="24"/>
          <w:szCs w:val="24"/>
        </w:rPr>
        <w:t xml:space="preserve">proporciona datos actualizados y sistematizados al gobierno municipal de </w:t>
      </w:r>
      <w:r>
        <w:rPr>
          <w:rFonts w:ascii="Times New Roman" w:eastAsia="Times New Roman" w:hAnsi="Times New Roman" w:cs="Times New Roman"/>
          <w:sz w:val="24"/>
          <w:szCs w:val="24"/>
        </w:rPr>
        <w:t xml:space="preserve">la </w:t>
      </w:r>
      <w:r w:rsidR="00E3435B">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sla </w:t>
      </w:r>
      <w:r w:rsidR="006B1808" w:rsidRPr="00DF0B57">
        <w:rPr>
          <w:rFonts w:ascii="Times New Roman" w:eastAsia="Times New Roman" w:hAnsi="Times New Roman" w:cs="Times New Roman"/>
          <w:sz w:val="24"/>
          <w:szCs w:val="24"/>
        </w:rPr>
        <w:t>Cozumel y a los distintos órganos preocupados e involucrados en el ámbito turístico de la isla. Esta información es relevante para la toma de decisiones</w:t>
      </w:r>
      <w:r w:rsidR="00E3435B">
        <w:rPr>
          <w:rFonts w:ascii="Times New Roman" w:eastAsia="Times New Roman" w:hAnsi="Times New Roman" w:cs="Times New Roman"/>
          <w:sz w:val="24"/>
          <w:szCs w:val="24"/>
        </w:rPr>
        <w:t xml:space="preserve"> en la región con respecto a las actividades económicas y especialmente con respecto al turismo</w:t>
      </w:r>
      <w:r w:rsidR="006B1808" w:rsidRPr="00DF0B57">
        <w:rPr>
          <w:rFonts w:ascii="Times New Roman" w:eastAsia="Times New Roman" w:hAnsi="Times New Roman" w:cs="Times New Roman"/>
          <w:sz w:val="24"/>
          <w:szCs w:val="24"/>
        </w:rPr>
        <w:t>, coadyuva a la planificación económica y establecimiento de estrategias para moderar los efectos negativos en futuros escenarios similares.</w:t>
      </w:r>
    </w:p>
    <w:p w14:paraId="6CD2647E" w14:textId="77777777" w:rsidR="009E0FFC" w:rsidRPr="001B67D4" w:rsidRDefault="009E0FFC" w:rsidP="001B4B99">
      <w:pPr>
        <w:spacing w:after="0" w:line="240" w:lineRule="auto"/>
        <w:jc w:val="both"/>
        <w:rPr>
          <w:rFonts w:ascii="Times New Roman" w:eastAsia="Times New Roman" w:hAnsi="Times New Roman" w:cs="Times New Roman"/>
          <w:b/>
          <w:bCs/>
          <w:sz w:val="24"/>
          <w:szCs w:val="24"/>
        </w:rPr>
      </w:pPr>
    </w:p>
    <w:p w14:paraId="5E6619E0" w14:textId="5B1E3E86" w:rsidR="009E0FFC" w:rsidRPr="001B67D4" w:rsidRDefault="001B67D4" w:rsidP="001B4B99">
      <w:pPr>
        <w:pStyle w:val="Prrafodelista"/>
        <w:numPr>
          <w:ilvl w:val="0"/>
          <w:numId w:val="3"/>
        </w:numPr>
        <w:jc w:val="both"/>
        <w:rPr>
          <w:rFonts w:ascii="Times New Roman" w:eastAsia="Times New Roman" w:hAnsi="Times New Roman" w:cs="Times New Roman"/>
          <w:b/>
          <w:bCs/>
          <w:sz w:val="24"/>
          <w:szCs w:val="24"/>
        </w:rPr>
      </w:pPr>
      <w:r w:rsidRPr="001B67D4">
        <w:rPr>
          <w:rFonts w:ascii="Times New Roman" w:eastAsia="Times New Roman" w:hAnsi="Times New Roman" w:cs="Times New Roman"/>
          <w:b/>
          <w:bCs/>
          <w:sz w:val="24"/>
          <w:szCs w:val="24"/>
        </w:rPr>
        <w:t>Metodología</w:t>
      </w:r>
    </w:p>
    <w:p w14:paraId="0DFB99FE" w14:textId="3837B367" w:rsidR="009E0FFC" w:rsidRPr="001B67D4" w:rsidRDefault="006B1808" w:rsidP="001B4B99">
      <w:pPr>
        <w:pStyle w:val="Prrafodelista"/>
        <w:numPr>
          <w:ilvl w:val="1"/>
          <w:numId w:val="3"/>
        </w:numPr>
        <w:pBdr>
          <w:top w:val="nil"/>
          <w:left w:val="nil"/>
          <w:bottom w:val="nil"/>
          <w:right w:val="nil"/>
          <w:between w:val="nil"/>
        </w:pBdr>
        <w:jc w:val="both"/>
        <w:rPr>
          <w:rFonts w:ascii="Times New Roman" w:eastAsia="Times New Roman" w:hAnsi="Times New Roman" w:cs="Times New Roman"/>
          <w:sz w:val="24"/>
          <w:szCs w:val="24"/>
        </w:rPr>
      </w:pPr>
      <w:r w:rsidRPr="001B67D4">
        <w:rPr>
          <w:rFonts w:ascii="Times New Roman" w:eastAsia="Times New Roman" w:hAnsi="Times New Roman" w:cs="Times New Roman"/>
          <w:sz w:val="24"/>
          <w:szCs w:val="24"/>
        </w:rPr>
        <w:t>Zona de estudio</w:t>
      </w:r>
    </w:p>
    <w:p w14:paraId="084F632B" w14:textId="77777777" w:rsidR="009E0FFC" w:rsidRPr="00DF0B57" w:rsidRDefault="009E0FFC" w:rsidP="001B4B9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89C1D72" w14:textId="32A84D96" w:rsidR="009E0FFC" w:rsidRDefault="006B1808" w:rsidP="001B4B9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La isla de Cozumel se localiza en el estado de Quintana Roo,</w:t>
      </w:r>
      <w:r w:rsidR="00E3435B">
        <w:rPr>
          <w:rFonts w:ascii="Times New Roman" w:eastAsia="Times New Roman" w:hAnsi="Times New Roman" w:cs="Times New Roman"/>
          <w:sz w:val="24"/>
          <w:szCs w:val="24"/>
        </w:rPr>
        <w:t xml:space="preserve"> específicamente</w:t>
      </w:r>
      <w:r w:rsidRPr="00DF0B57">
        <w:rPr>
          <w:rFonts w:ascii="Times New Roman" w:eastAsia="Times New Roman" w:hAnsi="Times New Roman" w:cs="Times New Roman"/>
          <w:sz w:val="24"/>
          <w:szCs w:val="24"/>
        </w:rPr>
        <w:t xml:space="preserve"> en el Caribe Mexicano, a 20 kilómetros (km) al este del litoral oriental de la península de Yucatán y aproximadamente a 60 km al sur del municipio de Benito Juárez (Cancún), al poniente limita con el municipio de Solidaridad y con el Mar Caribe (INEGI, 2010) (Figura 1). Forma parte de los 11 municipios del estado, con 48 km de norte a sur y 14,8 km de este a oeste. Cozumel era</w:t>
      </w:r>
      <w:r w:rsidR="00E3435B">
        <w:rPr>
          <w:rFonts w:ascii="Times New Roman" w:eastAsia="Times New Roman" w:hAnsi="Times New Roman" w:cs="Times New Roman"/>
          <w:sz w:val="24"/>
          <w:szCs w:val="24"/>
        </w:rPr>
        <w:t xml:space="preserve"> considerada como</w:t>
      </w:r>
      <w:r w:rsidRPr="00DF0B57">
        <w:rPr>
          <w:rFonts w:ascii="Times New Roman" w:eastAsia="Times New Roman" w:hAnsi="Times New Roman" w:cs="Times New Roman"/>
          <w:sz w:val="24"/>
          <w:szCs w:val="24"/>
        </w:rPr>
        <w:t xml:space="preserve"> una porción territorial de ascendencia maya, que se regía por una política autónoma y elegían a sus caciques que se encargaban de poner el orden a toda la estructura social de aquel tiempo, en lo que hoy se conoce como “San Gervasio”</w:t>
      </w:r>
      <w:r w:rsidR="001E3024">
        <w:rPr>
          <w:rFonts w:ascii="Times New Roman" w:eastAsia="Times New Roman" w:hAnsi="Times New Roman" w:cs="Times New Roman"/>
          <w:sz w:val="24"/>
          <w:szCs w:val="24"/>
        </w:rPr>
        <w:t xml:space="preserve">, cuya actividad básica era la </w:t>
      </w:r>
      <w:r w:rsidR="00607587">
        <w:rPr>
          <w:rFonts w:ascii="Times New Roman" w:eastAsia="Times New Roman" w:hAnsi="Times New Roman" w:cs="Times New Roman"/>
          <w:sz w:val="24"/>
          <w:szCs w:val="24"/>
        </w:rPr>
        <w:t>agricultura,</w:t>
      </w:r>
      <w:r w:rsidR="001E3024">
        <w:rPr>
          <w:rFonts w:ascii="Times New Roman" w:eastAsia="Times New Roman" w:hAnsi="Times New Roman" w:cs="Times New Roman"/>
          <w:sz w:val="24"/>
          <w:szCs w:val="24"/>
        </w:rPr>
        <w:t xml:space="preserve"> pero destacó como el principal centro ceremonial </w:t>
      </w:r>
      <w:r w:rsidR="00607587">
        <w:rPr>
          <w:rFonts w:ascii="Times New Roman" w:eastAsia="Times New Roman" w:hAnsi="Times New Roman" w:cs="Times New Roman"/>
          <w:sz w:val="24"/>
          <w:szCs w:val="24"/>
        </w:rPr>
        <w:t>maya (</w:t>
      </w:r>
      <w:r w:rsidRPr="00DF0B57">
        <w:rPr>
          <w:rFonts w:ascii="Times New Roman" w:eastAsia="Times New Roman" w:hAnsi="Times New Roman" w:cs="Times New Roman"/>
          <w:sz w:val="24"/>
          <w:szCs w:val="24"/>
        </w:rPr>
        <w:t xml:space="preserve">H. Ayuntamiento de Cozumel, 2022). Arroyo y Frausto, </w:t>
      </w:r>
      <w:r w:rsidR="00DF0B57" w:rsidRPr="00DF0B57">
        <w:rPr>
          <w:rFonts w:ascii="Times New Roman" w:eastAsia="Times New Roman" w:hAnsi="Times New Roman" w:cs="Times New Roman"/>
          <w:sz w:val="24"/>
          <w:szCs w:val="24"/>
        </w:rPr>
        <w:t>2020, mencionan</w:t>
      </w:r>
      <w:r w:rsidRPr="00DF0B57">
        <w:rPr>
          <w:rFonts w:ascii="Times New Roman" w:eastAsia="Times New Roman" w:hAnsi="Times New Roman" w:cs="Times New Roman"/>
          <w:sz w:val="24"/>
          <w:szCs w:val="24"/>
        </w:rPr>
        <w:t xml:space="preserve"> que tanto Xcaret como </w:t>
      </w:r>
      <w:proofErr w:type="spellStart"/>
      <w:r w:rsidRPr="00DF0B57">
        <w:rPr>
          <w:rFonts w:ascii="Times New Roman" w:eastAsia="Times New Roman" w:hAnsi="Times New Roman" w:cs="Times New Roman"/>
          <w:sz w:val="24"/>
          <w:szCs w:val="24"/>
        </w:rPr>
        <w:t>Xel-Há</w:t>
      </w:r>
      <w:proofErr w:type="spellEnd"/>
      <w:r w:rsidRPr="00DF0B57">
        <w:rPr>
          <w:rFonts w:ascii="Times New Roman" w:eastAsia="Times New Roman" w:hAnsi="Times New Roman" w:cs="Times New Roman"/>
          <w:sz w:val="24"/>
          <w:szCs w:val="24"/>
        </w:rPr>
        <w:t xml:space="preserve"> servían de embarcadero y desde ahí partían las canoas con los peregrinos que se dirigían </w:t>
      </w:r>
      <w:r w:rsidR="001E3024" w:rsidRPr="00DF0B57">
        <w:rPr>
          <w:rFonts w:ascii="Times New Roman" w:eastAsia="Times New Roman" w:hAnsi="Times New Roman" w:cs="Times New Roman"/>
          <w:sz w:val="24"/>
          <w:szCs w:val="24"/>
        </w:rPr>
        <w:t>a Cozumel</w:t>
      </w:r>
      <w:r w:rsidRPr="00DF0B57">
        <w:rPr>
          <w:rFonts w:ascii="Times New Roman" w:eastAsia="Times New Roman" w:hAnsi="Times New Roman" w:cs="Times New Roman"/>
          <w:sz w:val="24"/>
          <w:szCs w:val="24"/>
        </w:rPr>
        <w:t xml:space="preserve"> para adorar a “Ixchel”, (diosa de la fertilidad). </w:t>
      </w:r>
    </w:p>
    <w:p w14:paraId="7DB55160" w14:textId="2FFFC092" w:rsidR="001B4B99" w:rsidRDefault="001B4B99" w:rsidP="001B4B9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18B5BB6" w14:textId="5A4A1135" w:rsidR="001B4B99" w:rsidRDefault="001B4B99" w:rsidP="001B4B9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6831204" w14:textId="4D57211B" w:rsidR="001B4B99" w:rsidRDefault="001B4B99" w:rsidP="001B4B9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29DFA1A" w14:textId="21908380" w:rsidR="001B4B99" w:rsidRDefault="001B4B99" w:rsidP="001B4B9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401186FD" w14:textId="7B74684E" w:rsidR="001B4B99" w:rsidRDefault="001B4B99" w:rsidP="001B4B9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9DD558C" w14:textId="5B279088" w:rsidR="001B4B99" w:rsidRDefault="001B4B99" w:rsidP="001B4B9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7E0A5D9" w14:textId="204733A6" w:rsidR="001B4B99" w:rsidRDefault="001B4B99" w:rsidP="001B4B9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6953B86" w14:textId="061963D1" w:rsidR="001B4B99" w:rsidRDefault="001B4B99" w:rsidP="001B4B9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716FE21" w14:textId="77777777" w:rsidR="001B4B99" w:rsidRPr="00DF0B57" w:rsidRDefault="001B4B99" w:rsidP="001B4B9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DFFC03E" w14:textId="77777777" w:rsidR="00EC7D4B" w:rsidRPr="00DF0B57" w:rsidRDefault="00EC7D4B" w:rsidP="001B4B99">
      <w:pPr>
        <w:widowControl w:val="0"/>
        <w:pBdr>
          <w:top w:val="nil"/>
          <w:left w:val="nil"/>
          <w:bottom w:val="nil"/>
          <w:right w:val="nil"/>
          <w:between w:val="nil"/>
        </w:pBdr>
        <w:spacing w:before="99" w:after="0" w:line="240" w:lineRule="auto"/>
        <w:ind w:left="720"/>
        <w:jc w:val="center"/>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lastRenderedPageBreak/>
        <w:t>Figura 1 Ubicación de la zona de estudio</w:t>
      </w:r>
    </w:p>
    <w:p w14:paraId="58975291" w14:textId="06F3009F" w:rsidR="00EC7D4B" w:rsidRDefault="00EC7D4B" w:rsidP="001B4B99">
      <w:pPr>
        <w:spacing w:before="240" w:after="240" w:line="240" w:lineRule="auto"/>
        <w:jc w:val="both"/>
        <w:rPr>
          <w:rFonts w:ascii="Times New Roman" w:eastAsia="Times New Roman" w:hAnsi="Times New Roman" w:cs="Times New Roman"/>
          <w:sz w:val="24"/>
          <w:szCs w:val="24"/>
        </w:rPr>
      </w:pPr>
      <w:r w:rsidRPr="00DF0B57">
        <w:rPr>
          <w:rFonts w:ascii="Times New Roman" w:hAnsi="Times New Roman" w:cs="Times New Roman"/>
          <w:noProof/>
          <w:sz w:val="24"/>
          <w:szCs w:val="24"/>
          <w:lang w:eastAsia="es-MX"/>
        </w:rPr>
        <w:drawing>
          <wp:anchor distT="0" distB="0" distL="114300" distR="114300" simplePos="0" relativeHeight="251659264" behindDoc="0" locked="0" layoutInCell="1" hidden="0" allowOverlap="1" wp14:anchorId="336B9074" wp14:editId="409190ED">
            <wp:simplePos x="0" y="0"/>
            <wp:positionH relativeFrom="column">
              <wp:posOffset>0</wp:posOffset>
            </wp:positionH>
            <wp:positionV relativeFrom="paragraph">
              <wp:posOffset>418465</wp:posOffset>
            </wp:positionV>
            <wp:extent cx="5610860" cy="7147560"/>
            <wp:effectExtent l="0" t="0" r="0" b="0"/>
            <wp:wrapSquare wrapText="bothSides" distT="0" distB="0" distL="114300" distR="114300"/>
            <wp:docPr id="29" name="image1.jpg" descr="D:\Pictures\Documents\2018\MAPAS UBICACIÓN\Ubicación Cozumel.jpg"/>
            <wp:cNvGraphicFramePr/>
            <a:graphic xmlns:a="http://schemas.openxmlformats.org/drawingml/2006/main">
              <a:graphicData uri="http://schemas.openxmlformats.org/drawingml/2006/picture">
                <pic:pic xmlns:pic="http://schemas.openxmlformats.org/drawingml/2006/picture">
                  <pic:nvPicPr>
                    <pic:cNvPr id="0" name="image1.jpg" descr="D:\Pictures\Documents\2018\MAPAS UBICACIÓN\Ubicación Cozumel.jpg"/>
                    <pic:cNvPicPr preferRelativeResize="0"/>
                  </pic:nvPicPr>
                  <pic:blipFill>
                    <a:blip r:embed="rId9"/>
                    <a:srcRect/>
                    <a:stretch>
                      <a:fillRect/>
                    </a:stretch>
                  </pic:blipFill>
                  <pic:spPr>
                    <a:xfrm>
                      <a:off x="0" y="0"/>
                      <a:ext cx="5610860" cy="7147560"/>
                    </a:xfrm>
                    <a:prstGeom prst="rect">
                      <a:avLst/>
                    </a:prstGeom>
                    <a:ln/>
                  </pic:spPr>
                </pic:pic>
              </a:graphicData>
            </a:graphic>
          </wp:anchor>
        </w:drawing>
      </w:r>
    </w:p>
    <w:p w14:paraId="2021EE0E" w14:textId="77777777" w:rsidR="00EC7D4B" w:rsidRDefault="00EC7D4B" w:rsidP="001B4B99">
      <w:pPr>
        <w:spacing w:before="240" w:after="240" w:line="240" w:lineRule="auto"/>
        <w:jc w:val="both"/>
        <w:rPr>
          <w:rFonts w:ascii="Times New Roman" w:eastAsia="Times New Roman" w:hAnsi="Times New Roman" w:cs="Times New Roman"/>
          <w:sz w:val="24"/>
          <w:szCs w:val="24"/>
        </w:rPr>
      </w:pPr>
    </w:p>
    <w:p w14:paraId="7E489337" w14:textId="77777777" w:rsidR="00EC7D4B" w:rsidRDefault="00EC7D4B" w:rsidP="001B4B99">
      <w:pPr>
        <w:spacing w:before="240" w:after="240" w:line="240" w:lineRule="auto"/>
        <w:jc w:val="both"/>
        <w:rPr>
          <w:rFonts w:ascii="Times New Roman" w:eastAsia="Times New Roman" w:hAnsi="Times New Roman" w:cs="Times New Roman"/>
          <w:sz w:val="24"/>
          <w:szCs w:val="24"/>
        </w:rPr>
      </w:pPr>
    </w:p>
    <w:p w14:paraId="415236C2" w14:textId="77777777" w:rsidR="00EC7D4B" w:rsidRDefault="00EC7D4B" w:rsidP="001B4B99">
      <w:pPr>
        <w:spacing w:before="240" w:after="240" w:line="240" w:lineRule="auto"/>
        <w:jc w:val="both"/>
        <w:rPr>
          <w:rFonts w:ascii="Times New Roman" w:eastAsia="Times New Roman" w:hAnsi="Times New Roman" w:cs="Times New Roman"/>
          <w:sz w:val="24"/>
          <w:szCs w:val="24"/>
        </w:rPr>
      </w:pPr>
    </w:p>
    <w:p w14:paraId="56AC99D0" w14:textId="77777777" w:rsidR="00EC7D4B" w:rsidRDefault="00EC7D4B" w:rsidP="001B4B99">
      <w:pPr>
        <w:spacing w:before="240" w:after="240" w:line="240" w:lineRule="auto"/>
        <w:jc w:val="both"/>
        <w:rPr>
          <w:rFonts w:ascii="Times New Roman" w:eastAsia="Times New Roman" w:hAnsi="Times New Roman" w:cs="Times New Roman"/>
          <w:sz w:val="24"/>
          <w:szCs w:val="24"/>
        </w:rPr>
      </w:pPr>
    </w:p>
    <w:p w14:paraId="04826964" w14:textId="77777777" w:rsidR="00EC7D4B" w:rsidRDefault="00EC7D4B" w:rsidP="001B4B99">
      <w:pPr>
        <w:spacing w:before="240" w:after="240" w:line="240" w:lineRule="auto"/>
        <w:jc w:val="both"/>
        <w:rPr>
          <w:rFonts w:ascii="Times New Roman" w:eastAsia="Times New Roman" w:hAnsi="Times New Roman" w:cs="Times New Roman"/>
          <w:sz w:val="24"/>
          <w:szCs w:val="24"/>
        </w:rPr>
      </w:pPr>
    </w:p>
    <w:p w14:paraId="6A425EAA" w14:textId="77777777" w:rsidR="00EC7D4B" w:rsidRDefault="00EC7D4B" w:rsidP="001B4B99">
      <w:pPr>
        <w:spacing w:before="240" w:after="240" w:line="240" w:lineRule="auto"/>
        <w:jc w:val="both"/>
        <w:rPr>
          <w:rFonts w:ascii="Times New Roman" w:eastAsia="Times New Roman" w:hAnsi="Times New Roman" w:cs="Times New Roman"/>
          <w:sz w:val="24"/>
          <w:szCs w:val="24"/>
        </w:rPr>
      </w:pPr>
    </w:p>
    <w:p w14:paraId="306482ED" w14:textId="77777777" w:rsidR="00EC7D4B" w:rsidRDefault="00EC7D4B" w:rsidP="001B4B99">
      <w:pPr>
        <w:spacing w:before="240" w:after="240" w:line="240" w:lineRule="auto"/>
        <w:jc w:val="both"/>
        <w:rPr>
          <w:rFonts w:ascii="Times New Roman" w:eastAsia="Times New Roman" w:hAnsi="Times New Roman" w:cs="Times New Roman"/>
          <w:sz w:val="24"/>
          <w:szCs w:val="24"/>
        </w:rPr>
      </w:pPr>
    </w:p>
    <w:p w14:paraId="1CA835DD" w14:textId="77777777" w:rsidR="00EC7D4B" w:rsidRDefault="00EC7D4B" w:rsidP="001B4B99">
      <w:pPr>
        <w:spacing w:before="240" w:after="240" w:line="240" w:lineRule="auto"/>
        <w:jc w:val="both"/>
        <w:rPr>
          <w:rFonts w:ascii="Times New Roman" w:eastAsia="Times New Roman" w:hAnsi="Times New Roman" w:cs="Times New Roman"/>
          <w:sz w:val="24"/>
          <w:szCs w:val="24"/>
        </w:rPr>
      </w:pPr>
    </w:p>
    <w:p w14:paraId="662623B1" w14:textId="77777777" w:rsidR="00EC7D4B" w:rsidRDefault="00EC7D4B" w:rsidP="001B4B99">
      <w:pPr>
        <w:spacing w:before="240" w:after="240" w:line="240" w:lineRule="auto"/>
        <w:jc w:val="both"/>
        <w:rPr>
          <w:rFonts w:ascii="Times New Roman" w:eastAsia="Times New Roman" w:hAnsi="Times New Roman" w:cs="Times New Roman"/>
          <w:sz w:val="24"/>
          <w:szCs w:val="24"/>
        </w:rPr>
      </w:pPr>
    </w:p>
    <w:p w14:paraId="76FE11DF" w14:textId="77777777" w:rsidR="00EC7D4B" w:rsidRDefault="00EC7D4B" w:rsidP="001B4B99">
      <w:pPr>
        <w:spacing w:before="240" w:after="240" w:line="240" w:lineRule="auto"/>
        <w:jc w:val="both"/>
        <w:rPr>
          <w:rFonts w:ascii="Times New Roman" w:eastAsia="Times New Roman" w:hAnsi="Times New Roman" w:cs="Times New Roman"/>
          <w:sz w:val="24"/>
          <w:szCs w:val="24"/>
        </w:rPr>
      </w:pPr>
    </w:p>
    <w:p w14:paraId="1F3B6C98" w14:textId="77777777" w:rsidR="00EC7D4B" w:rsidRDefault="00EC7D4B" w:rsidP="001B4B99">
      <w:pPr>
        <w:spacing w:before="240" w:after="240" w:line="240" w:lineRule="auto"/>
        <w:jc w:val="both"/>
        <w:rPr>
          <w:rFonts w:ascii="Times New Roman" w:eastAsia="Times New Roman" w:hAnsi="Times New Roman" w:cs="Times New Roman"/>
          <w:sz w:val="24"/>
          <w:szCs w:val="24"/>
        </w:rPr>
      </w:pPr>
    </w:p>
    <w:p w14:paraId="6D0EA823" w14:textId="77777777" w:rsidR="00EC7D4B" w:rsidRDefault="00EC7D4B" w:rsidP="001B4B99">
      <w:pPr>
        <w:spacing w:before="240" w:after="240" w:line="240" w:lineRule="auto"/>
        <w:jc w:val="both"/>
        <w:rPr>
          <w:rFonts w:ascii="Times New Roman" w:eastAsia="Times New Roman" w:hAnsi="Times New Roman" w:cs="Times New Roman"/>
          <w:sz w:val="24"/>
          <w:szCs w:val="24"/>
        </w:rPr>
      </w:pPr>
    </w:p>
    <w:p w14:paraId="6862632C" w14:textId="77777777" w:rsidR="00EC7D4B" w:rsidRDefault="00EC7D4B" w:rsidP="001B4B99">
      <w:pPr>
        <w:spacing w:before="240" w:after="240" w:line="240" w:lineRule="auto"/>
        <w:jc w:val="both"/>
        <w:rPr>
          <w:rFonts w:ascii="Times New Roman" w:eastAsia="Times New Roman" w:hAnsi="Times New Roman" w:cs="Times New Roman"/>
          <w:sz w:val="24"/>
          <w:szCs w:val="24"/>
        </w:rPr>
      </w:pPr>
    </w:p>
    <w:p w14:paraId="7250AF96" w14:textId="77777777" w:rsidR="00EC7D4B" w:rsidRDefault="00EC7D4B" w:rsidP="001B4B99">
      <w:pPr>
        <w:spacing w:before="240" w:after="240" w:line="240" w:lineRule="auto"/>
        <w:jc w:val="both"/>
        <w:rPr>
          <w:rFonts w:ascii="Times New Roman" w:eastAsia="Times New Roman" w:hAnsi="Times New Roman" w:cs="Times New Roman"/>
          <w:sz w:val="24"/>
          <w:szCs w:val="24"/>
        </w:rPr>
      </w:pPr>
    </w:p>
    <w:p w14:paraId="355110AE" w14:textId="77777777" w:rsidR="00EC7D4B" w:rsidRDefault="00EC7D4B" w:rsidP="001B4B99">
      <w:pPr>
        <w:spacing w:before="240" w:after="240" w:line="240" w:lineRule="auto"/>
        <w:jc w:val="both"/>
        <w:rPr>
          <w:rFonts w:ascii="Times New Roman" w:eastAsia="Times New Roman" w:hAnsi="Times New Roman" w:cs="Times New Roman"/>
          <w:sz w:val="24"/>
          <w:szCs w:val="24"/>
        </w:rPr>
      </w:pPr>
    </w:p>
    <w:p w14:paraId="5DC62A80" w14:textId="77777777" w:rsidR="00EC7D4B" w:rsidRDefault="00EC7D4B" w:rsidP="001B4B99">
      <w:pPr>
        <w:spacing w:before="240" w:after="240" w:line="240" w:lineRule="auto"/>
        <w:jc w:val="both"/>
        <w:rPr>
          <w:rFonts w:ascii="Times New Roman" w:eastAsia="Times New Roman" w:hAnsi="Times New Roman" w:cs="Times New Roman"/>
          <w:sz w:val="24"/>
          <w:szCs w:val="24"/>
        </w:rPr>
      </w:pPr>
    </w:p>
    <w:p w14:paraId="6F3ECDDC" w14:textId="77777777" w:rsidR="00EC7D4B" w:rsidRDefault="00EC7D4B" w:rsidP="001B4B99">
      <w:pPr>
        <w:spacing w:before="240" w:after="240" w:line="240" w:lineRule="auto"/>
        <w:jc w:val="both"/>
        <w:rPr>
          <w:rFonts w:ascii="Times New Roman" w:eastAsia="Times New Roman" w:hAnsi="Times New Roman" w:cs="Times New Roman"/>
          <w:sz w:val="24"/>
          <w:szCs w:val="24"/>
        </w:rPr>
      </w:pPr>
    </w:p>
    <w:p w14:paraId="7434CA89" w14:textId="77777777" w:rsidR="00270B0C" w:rsidRDefault="00270B0C" w:rsidP="001B4B99">
      <w:pPr>
        <w:widowControl w:val="0"/>
        <w:pBdr>
          <w:top w:val="nil"/>
          <w:left w:val="nil"/>
          <w:bottom w:val="nil"/>
          <w:right w:val="nil"/>
          <w:between w:val="nil"/>
        </w:pBdr>
        <w:spacing w:before="99" w:after="0" w:line="240" w:lineRule="auto"/>
        <w:ind w:left="720"/>
        <w:jc w:val="both"/>
        <w:rPr>
          <w:rFonts w:ascii="Times New Roman" w:eastAsia="Times New Roman" w:hAnsi="Times New Roman" w:cs="Times New Roman"/>
          <w:sz w:val="24"/>
          <w:szCs w:val="24"/>
        </w:rPr>
      </w:pPr>
    </w:p>
    <w:p w14:paraId="5C079253" w14:textId="77777777" w:rsidR="00270B0C" w:rsidRDefault="00270B0C" w:rsidP="001B4B99">
      <w:pPr>
        <w:widowControl w:val="0"/>
        <w:pBdr>
          <w:top w:val="nil"/>
          <w:left w:val="nil"/>
          <w:bottom w:val="nil"/>
          <w:right w:val="nil"/>
          <w:between w:val="nil"/>
        </w:pBdr>
        <w:spacing w:before="99" w:after="0" w:line="240" w:lineRule="auto"/>
        <w:ind w:left="720"/>
        <w:jc w:val="both"/>
        <w:rPr>
          <w:rFonts w:ascii="Times New Roman" w:eastAsia="Times New Roman" w:hAnsi="Times New Roman" w:cs="Times New Roman"/>
          <w:sz w:val="24"/>
          <w:szCs w:val="24"/>
        </w:rPr>
      </w:pPr>
    </w:p>
    <w:p w14:paraId="7D4CCDEA" w14:textId="77777777" w:rsidR="00270B0C" w:rsidRDefault="00270B0C" w:rsidP="001B4B99">
      <w:pPr>
        <w:widowControl w:val="0"/>
        <w:pBdr>
          <w:top w:val="nil"/>
          <w:left w:val="nil"/>
          <w:bottom w:val="nil"/>
          <w:right w:val="nil"/>
          <w:between w:val="nil"/>
        </w:pBdr>
        <w:spacing w:before="99" w:after="0" w:line="240" w:lineRule="auto"/>
        <w:ind w:left="720"/>
        <w:jc w:val="both"/>
        <w:rPr>
          <w:rFonts w:ascii="Times New Roman" w:eastAsia="Times New Roman" w:hAnsi="Times New Roman" w:cs="Times New Roman"/>
          <w:sz w:val="24"/>
          <w:szCs w:val="24"/>
        </w:rPr>
      </w:pPr>
    </w:p>
    <w:p w14:paraId="230DCA17" w14:textId="77777777" w:rsidR="00270B0C" w:rsidRDefault="00270B0C" w:rsidP="001B4B99">
      <w:pPr>
        <w:widowControl w:val="0"/>
        <w:pBdr>
          <w:top w:val="nil"/>
          <w:left w:val="nil"/>
          <w:bottom w:val="nil"/>
          <w:right w:val="nil"/>
          <w:between w:val="nil"/>
        </w:pBdr>
        <w:spacing w:before="99" w:after="0" w:line="240" w:lineRule="auto"/>
        <w:ind w:left="720"/>
        <w:jc w:val="both"/>
        <w:rPr>
          <w:rFonts w:ascii="Times New Roman" w:eastAsia="Times New Roman" w:hAnsi="Times New Roman" w:cs="Times New Roman"/>
          <w:sz w:val="24"/>
          <w:szCs w:val="24"/>
        </w:rPr>
      </w:pPr>
    </w:p>
    <w:p w14:paraId="4426B261" w14:textId="77777777" w:rsidR="00270B0C" w:rsidRDefault="00270B0C" w:rsidP="001B4B99">
      <w:pPr>
        <w:widowControl w:val="0"/>
        <w:pBdr>
          <w:top w:val="nil"/>
          <w:left w:val="nil"/>
          <w:bottom w:val="nil"/>
          <w:right w:val="nil"/>
          <w:between w:val="nil"/>
        </w:pBdr>
        <w:spacing w:before="99" w:after="0" w:line="240" w:lineRule="auto"/>
        <w:ind w:left="720"/>
        <w:jc w:val="both"/>
        <w:rPr>
          <w:rFonts w:ascii="Times New Roman" w:eastAsia="Times New Roman" w:hAnsi="Times New Roman" w:cs="Times New Roman"/>
          <w:sz w:val="24"/>
          <w:szCs w:val="24"/>
        </w:rPr>
      </w:pPr>
    </w:p>
    <w:p w14:paraId="68D94EE8" w14:textId="77777777" w:rsidR="00270B0C" w:rsidRDefault="00270B0C" w:rsidP="001B4B99">
      <w:pPr>
        <w:widowControl w:val="0"/>
        <w:pBdr>
          <w:top w:val="nil"/>
          <w:left w:val="nil"/>
          <w:bottom w:val="nil"/>
          <w:right w:val="nil"/>
          <w:between w:val="nil"/>
        </w:pBdr>
        <w:spacing w:before="99" w:after="0" w:line="240" w:lineRule="auto"/>
        <w:ind w:left="720"/>
        <w:jc w:val="both"/>
        <w:rPr>
          <w:rFonts w:ascii="Times New Roman" w:eastAsia="Times New Roman" w:hAnsi="Times New Roman" w:cs="Times New Roman"/>
          <w:sz w:val="24"/>
          <w:szCs w:val="24"/>
        </w:rPr>
      </w:pPr>
    </w:p>
    <w:p w14:paraId="031C975F" w14:textId="77777777" w:rsidR="00270B0C" w:rsidRDefault="00270B0C" w:rsidP="001B4B99">
      <w:pPr>
        <w:widowControl w:val="0"/>
        <w:pBdr>
          <w:top w:val="nil"/>
          <w:left w:val="nil"/>
          <w:bottom w:val="nil"/>
          <w:right w:val="nil"/>
          <w:between w:val="nil"/>
        </w:pBdr>
        <w:spacing w:before="99" w:after="0" w:line="240" w:lineRule="auto"/>
        <w:ind w:left="720"/>
        <w:jc w:val="both"/>
        <w:rPr>
          <w:rFonts w:ascii="Times New Roman" w:eastAsia="Times New Roman" w:hAnsi="Times New Roman" w:cs="Times New Roman"/>
          <w:sz w:val="24"/>
          <w:szCs w:val="24"/>
        </w:rPr>
      </w:pPr>
    </w:p>
    <w:p w14:paraId="095E0705" w14:textId="45A19753" w:rsidR="00EC7D4B" w:rsidRDefault="00EC7D4B" w:rsidP="009417B0">
      <w:pPr>
        <w:widowControl w:val="0"/>
        <w:pBdr>
          <w:top w:val="nil"/>
          <w:left w:val="nil"/>
          <w:bottom w:val="nil"/>
          <w:right w:val="nil"/>
          <w:between w:val="nil"/>
        </w:pBdr>
        <w:spacing w:before="99" w:after="0" w:line="240" w:lineRule="auto"/>
        <w:ind w:left="720"/>
        <w:jc w:val="center"/>
        <w:rPr>
          <w:rFonts w:ascii="Times New Roman" w:eastAsia="Times New Roman" w:hAnsi="Times New Roman" w:cs="Times New Roman"/>
          <w:sz w:val="24"/>
          <w:szCs w:val="24"/>
        </w:rPr>
      </w:pPr>
      <w:r w:rsidRPr="009417B0">
        <w:rPr>
          <w:rFonts w:ascii="Times New Roman" w:eastAsia="Times New Roman" w:hAnsi="Times New Roman" w:cs="Times New Roman"/>
          <w:b/>
          <w:bCs/>
          <w:sz w:val="24"/>
          <w:szCs w:val="24"/>
        </w:rPr>
        <w:t>Fuente:</w:t>
      </w:r>
      <w:r w:rsidRPr="00DF0B57">
        <w:rPr>
          <w:rFonts w:ascii="Times New Roman" w:eastAsia="Times New Roman" w:hAnsi="Times New Roman" w:cs="Times New Roman"/>
          <w:sz w:val="24"/>
          <w:szCs w:val="24"/>
        </w:rPr>
        <w:t xml:space="preserve"> </w:t>
      </w:r>
      <w:r w:rsidR="009417B0">
        <w:rPr>
          <w:rFonts w:ascii="Times New Roman" w:eastAsia="Times New Roman" w:hAnsi="Times New Roman" w:cs="Times New Roman"/>
          <w:sz w:val="24"/>
          <w:szCs w:val="24"/>
        </w:rPr>
        <w:t>E</w:t>
      </w:r>
      <w:r w:rsidRPr="00DF0B57">
        <w:rPr>
          <w:rFonts w:ascii="Times New Roman" w:eastAsia="Times New Roman" w:hAnsi="Times New Roman" w:cs="Times New Roman"/>
          <w:sz w:val="24"/>
          <w:szCs w:val="24"/>
        </w:rPr>
        <w:t>laboración propia con datos vectoriales INEGI, 2017</w:t>
      </w:r>
      <w:r>
        <w:rPr>
          <w:rFonts w:ascii="Times New Roman" w:eastAsia="Times New Roman" w:hAnsi="Times New Roman" w:cs="Times New Roman"/>
          <w:sz w:val="24"/>
          <w:szCs w:val="24"/>
        </w:rPr>
        <w:t>.</w:t>
      </w:r>
    </w:p>
    <w:p w14:paraId="2B65483B" w14:textId="77777777" w:rsidR="001B4B99" w:rsidRDefault="001B4B99" w:rsidP="001B4B99">
      <w:pPr>
        <w:widowControl w:val="0"/>
        <w:pBdr>
          <w:top w:val="nil"/>
          <w:left w:val="nil"/>
          <w:bottom w:val="nil"/>
          <w:right w:val="nil"/>
          <w:between w:val="nil"/>
        </w:pBdr>
        <w:spacing w:before="99" w:after="0" w:line="240" w:lineRule="auto"/>
        <w:ind w:left="720"/>
        <w:jc w:val="both"/>
        <w:rPr>
          <w:rFonts w:ascii="Times New Roman" w:eastAsia="Times New Roman" w:hAnsi="Times New Roman" w:cs="Times New Roman"/>
          <w:sz w:val="24"/>
          <w:szCs w:val="24"/>
        </w:rPr>
      </w:pPr>
    </w:p>
    <w:p w14:paraId="634248FF" w14:textId="2B482271" w:rsidR="0009349D" w:rsidRDefault="006B1808" w:rsidP="001B4B99">
      <w:pPr>
        <w:spacing w:before="240" w:after="240" w:line="24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lastRenderedPageBreak/>
        <w:t xml:space="preserve">El aprovechamiento turístico </w:t>
      </w:r>
      <w:r w:rsidR="00E3435B">
        <w:rPr>
          <w:rFonts w:ascii="Times New Roman" w:eastAsia="Times New Roman" w:hAnsi="Times New Roman" w:cs="Times New Roman"/>
          <w:sz w:val="24"/>
          <w:szCs w:val="24"/>
        </w:rPr>
        <w:t>en</w:t>
      </w:r>
      <w:r w:rsidRPr="00DF0B57">
        <w:rPr>
          <w:rFonts w:ascii="Times New Roman" w:eastAsia="Times New Roman" w:hAnsi="Times New Roman" w:cs="Times New Roman"/>
          <w:sz w:val="24"/>
          <w:szCs w:val="24"/>
        </w:rPr>
        <w:t xml:space="preserve"> Cozumel está centrado en el turismo de sol y playa</w:t>
      </w:r>
      <w:r w:rsidR="00385DEB">
        <w:rPr>
          <w:rFonts w:ascii="Times New Roman" w:eastAsia="Times New Roman" w:hAnsi="Times New Roman" w:cs="Times New Roman"/>
          <w:sz w:val="24"/>
          <w:szCs w:val="24"/>
        </w:rPr>
        <w:t>, con una combinación de recursos naturales enmarcados en áreas naturales protegidas</w:t>
      </w:r>
      <w:r w:rsidRPr="00DF0B57">
        <w:rPr>
          <w:rFonts w:ascii="Times New Roman" w:eastAsia="Times New Roman" w:hAnsi="Times New Roman" w:cs="Times New Roman"/>
          <w:sz w:val="24"/>
          <w:szCs w:val="24"/>
        </w:rPr>
        <w:t xml:space="preserve">, destacan la zona sur, donde se ubican los tres muelles de carácter internacional, </w:t>
      </w:r>
      <w:r w:rsidR="00DB58CF">
        <w:rPr>
          <w:rFonts w:ascii="Times New Roman" w:eastAsia="Times New Roman" w:hAnsi="Times New Roman" w:cs="Times New Roman"/>
          <w:sz w:val="24"/>
          <w:szCs w:val="24"/>
        </w:rPr>
        <w:t xml:space="preserve">la </w:t>
      </w:r>
      <w:r w:rsidRPr="00DF0B57">
        <w:rPr>
          <w:rFonts w:ascii="Times New Roman" w:eastAsia="Times New Roman" w:hAnsi="Times New Roman" w:cs="Times New Roman"/>
          <w:sz w:val="24"/>
          <w:szCs w:val="24"/>
        </w:rPr>
        <w:t xml:space="preserve">terminal Punta Langosta, muelle fiscal internacional y Puerta Maya, </w:t>
      </w:r>
      <w:r w:rsidR="001F520A">
        <w:rPr>
          <w:rFonts w:ascii="Times New Roman" w:eastAsia="Times New Roman" w:hAnsi="Times New Roman" w:cs="Times New Roman"/>
          <w:sz w:val="24"/>
          <w:szCs w:val="24"/>
        </w:rPr>
        <w:t xml:space="preserve">así como muelles de amarre, </w:t>
      </w:r>
      <w:r w:rsidRPr="00DF0B57">
        <w:rPr>
          <w:rFonts w:ascii="Times New Roman" w:eastAsia="Times New Roman" w:hAnsi="Times New Roman" w:cs="Times New Roman"/>
          <w:sz w:val="24"/>
          <w:szCs w:val="24"/>
        </w:rPr>
        <w:t>se concentran</w:t>
      </w:r>
      <w:r w:rsidR="001F520A">
        <w:rPr>
          <w:rFonts w:ascii="Times New Roman" w:eastAsia="Times New Roman" w:hAnsi="Times New Roman" w:cs="Times New Roman"/>
          <w:sz w:val="24"/>
          <w:szCs w:val="24"/>
        </w:rPr>
        <w:t xml:space="preserve"> aproximadamente 18 </w:t>
      </w:r>
      <w:r w:rsidR="00607587">
        <w:rPr>
          <w:rFonts w:ascii="Times New Roman" w:eastAsia="Times New Roman" w:hAnsi="Times New Roman" w:cs="Times New Roman"/>
          <w:sz w:val="24"/>
          <w:szCs w:val="24"/>
        </w:rPr>
        <w:t>clubes de playa,</w:t>
      </w:r>
      <w:r w:rsidR="001F520A">
        <w:rPr>
          <w:rFonts w:ascii="Times New Roman" w:eastAsia="Times New Roman" w:hAnsi="Times New Roman" w:cs="Times New Roman"/>
          <w:sz w:val="24"/>
          <w:szCs w:val="24"/>
        </w:rPr>
        <w:t xml:space="preserve"> tres </w:t>
      </w:r>
      <w:r w:rsidR="00607587">
        <w:rPr>
          <w:rFonts w:ascii="Times New Roman" w:eastAsia="Times New Roman" w:hAnsi="Times New Roman" w:cs="Times New Roman"/>
          <w:sz w:val="24"/>
          <w:szCs w:val="24"/>
        </w:rPr>
        <w:t xml:space="preserve">playas públicas, </w:t>
      </w:r>
      <w:r w:rsidR="001F520A">
        <w:rPr>
          <w:rFonts w:ascii="Times New Roman" w:eastAsia="Times New Roman" w:hAnsi="Times New Roman" w:cs="Times New Roman"/>
          <w:sz w:val="24"/>
          <w:szCs w:val="24"/>
        </w:rPr>
        <w:t xml:space="preserve">18 servicios de hospedaje entre </w:t>
      </w:r>
      <w:r w:rsidRPr="00DF0B57">
        <w:rPr>
          <w:rFonts w:ascii="Times New Roman" w:eastAsia="Times New Roman" w:hAnsi="Times New Roman" w:cs="Times New Roman"/>
          <w:sz w:val="24"/>
          <w:szCs w:val="24"/>
        </w:rPr>
        <w:t xml:space="preserve">hoteles de cadena </w:t>
      </w:r>
      <w:r w:rsidRPr="000A3209">
        <w:rPr>
          <w:rFonts w:ascii="Times New Roman" w:eastAsia="Times New Roman" w:hAnsi="Times New Roman" w:cs="Times New Roman"/>
          <w:sz w:val="24"/>
          <w:szCs w:val="24"/>
        </w:rPr>
        <w:t>tras</w:t>
      </w:r>
      <w:r w:rsidR="002B69D7" w:rsidRPr="000A3209">
        <w:rPr>
          <w:rFonts w:ascii="Times New Roman" w:eastAsia="Times New Roman" w:hAnsi="Times New Roman" w:cs="Times New Roman"/>
          <w:sz w:val="24"/>
          <w:szCs w:val="24"/>
        </w:rPr>
        <w:t xml:space="preserve">nacionales, </w:t>
      </w:r>
      <w:r w:rsidR="001F520A">
        <w:rPr>
          <w:rFonts w:ascii="Times New Roman" w:eastAsia="Times New Roman" w:hAnsi="Times New Roman" w:cs="Times New Roman"/>
          <w:sz w:val="24"/>
          <w:szCs w:val="24"/>
        </w:rPr>
        <w:t>condominios y</w:t>
      </w:r>
      <w:r w:rsidR="008869FC">
        <w:rPr>
          <w:rFonts w:ascii="Times New Roman" w:eastAsia="Times New Roman" w:hAnsi="Times New Roman" w:cs="Times New Roman"/>
          <w:sz w:val="24"/>
          <w:szCs w:val="24"/>
        </w:rPr>
        <w:t xml:space="preserve"> segundas residencias</w:t>
      </w:r>
      <w:r w:rsidR="001F520A">
        <w:rPr>
          <w:rFonts w:ascii="Times New Roman" w:eastAsia="Times New Roman" w:hAnsi="Times New Roman" w:cs="Times New Roman"/>
          <w:sz w:val="24"/>
          <w:szCs w:val="24"/>
        </w:rPr>
        <w:t>, ocho restaurantes</w:t>
      </w:r>
      <w:r w:rsidR="008869FC">
        <w:rPr>
          <w:rFonts w:ascii="Times New Roman" w:eastAsia="Times New Roman" w:hAnsi="Times New Roman" w:cs="Times New Roman"/>
          <w:sz w:val="24"/>
          <w:szCs w:val="24"/>
        </w:rPr>
        <w:t xml:space="preserve">, </w:t>
      </w:r>
      <w:r w:rsidR="002B69D7" w:rsidRPr="000A3209">
        <w:rPr>
          <w:rFonts w:ascii="Times New Roman" w:eastAsia="Times New Roman" w:hAnsi="Times New Roman" w:cs="Times New Roman"/>
          <w:sz w:val="24"/>
          <w:szCs w:val="24"/>
        </w:rPr>
        <w:t>el Parque Nacional A</w:t>
      </w:r>
      <w:r w:rsidRPr="000A3209">
        <w:rPr>
          <w:rFonts w:ascii="Times New Roman" w:eastAsia="Times New Roman" w:hAnsi="Times New Roman" w:cs="Times New Roman"/>
          <w:sz w:val="24"/>
          <w:szCs w:val="24"/>
        </w:rPr>
        <w:t>rrecifes de Cozumel</w:t>
      </w:r>
      <w:r w:rsidR="002B69D7" w:rsidRPr="000A3209">
        <w:rPr>
          <w:rFonts w:ascii="Times New Roman" w:eastAsia="Times New Roman" w:hAnsi="Times New Roman" w:cs="Times New Roman"/>
          <w:sz w:val="24"/>
          <w:szCs w:val="24"/>
        </w:rPr>
        <w:t xml:space="preserve"> </w:t>
      </w:r>
      <w:r w:rsidR="002B69D7" w:rsidRPr="000A3209">
        <w:rPr>
          <w:rFonts w:ascii="Times New Roman" w:hAnsi="Times New Roman" w:cs="Times New Roman"/>
          <w:color w:val="000000"/>
          <w:sz w:val="24"/>
          <w:szCs w:val="24"/>
        </w:rPr>
        <w:t>una superficie de 11,897 Ha. que comprende 3</w:t>
      </w:r>
      <w:r w:rsidR="00E63856">
        <w:rPr>
          <w:rFonts w:ascii="Times New Roman" w:hAnsi="Times New Roman" w:cs="Times New Roman"/>
          <w:color w:val="000000"/>
          <w:sz w:val="24"/>
          <w:szCs w:val="24"/>
        </w:rPr>
        <w:t xml:space="preserve">3 </w:t>
      </w:r>
      <w:r w:rsidR="002B69D7" w:rsidRPr="000A3209">
        <w:rPr>
          <w:rFonts w:ascii="Times New Roman" w:hAnsi="Times New Roman" w:cs="Times New Roman"/>
          <w:color w:val="000000"/>
          <w:sz w:val="24"/>
          <w:szCs w:val="24"/>
        </w:rPr>
        <w:t>sitios de arrecifes coralinos</w:t>
      </w:r>
      <w:r w:rsidR="00E63856">
        <w:rPr>
          <w:rFonts w:ascii="Times New Roman" w:hAnsi="Times New Roman" w:cs="Times New Roman"/>
          <w:color w:val="000000"/>
          <w:sz w:val="24"/>
          <w:szCs w:val="24"/>
        </w:rPr>
        <w:t xml:space="preserve"> dentro del polígono (Arroyo, </w:t>
      </w:r>
      <w:r w:rsidR="00A93C9A">
        <w:rPr>
          <w:rFonts w:ascii="Times New Roman" w:hAnsi="Times New Roman" w:cs="Times New Roman"/>
          <w:i/>
          <w:color w:val="000000"/>
          <w:sz w:val="24"/>
          <w:szCs w:val="24"/>
        </w:rPr>
        <w:t>et al., 2018</w:t>
      </w:r>
      <w:r w:rsidR="00E63856" w:rsidRPr="001F520A">
        <w:rPr>
          <w:rFonts w:ascii="Times New Roman" w:hAnsi="Times New Roman" w:cs="Times New Roman"/>
          <w:i/>
          <w:color w:val="000000"/>
          <w:sz w:val="24"/>
          <w:szCs w:val="24"/>
        </w:rPr>
        <w:t>)</w:t>
      </w:r>
      <w:r w:rsidR="00A93C9A">
        <w:rPr>
          <w:rFonts w:ascii="Times New Roman" w:hAnsi="Times New Roman" w:cs="Times New Roman"/>
          <w:color w:val="000000"/>
          <w:sz w:val="24"/>
          <w:szCs w:val="24"/>
        </w:rPr>
        <w:t>,</w:t>
      </w:r>
      <w:r w:rsidR="00A93C9A" w:rsidRPr="00A93C9A">
        <w:rPr>
          <w:rFonts w:ascii="Times New Roman" w:hAnsi="Times New Roman" w:cs="Times New Roman"/>
          <w:color w:val="000000"/>
          <w:sz w:val="24"/>
          <w:szCs w:val="24"/>
        </w:rPr>
        <w:t xml:space="preserve"> </w:t>
      </w:r>
      <w:r w:rsidR="00BD1C51">
        <w:rPr>
          <w:rFonts w:ascii="Times New Roman" w:hAnsi="Times New Roman" w:cs="Times New Roman"/>
          <w:color w:val="000000"/>
          <w:sz w:val="24"/>
          <w:szCs w:val="24"/>
        </w:rPr>
        <w:t xml:space="preserve">en esta zona también se ubica </w:t>
      </w:r>
      <w:r w:rsidR="00A93C9A" w:rsidRPr="00A93C9A">
        <w:rPr>
          <w:rFonts w:ascii="Times New Roman" w:hAnsi="Times New Roman" w:cs="Times New Roman"/>
          <w:color w:val="000000"/>
          <w:sz w:val="24"/>
          <w:szCs w:val="24"/>
        </w:rPr>
        <w:t xml:space="preserve">el  parque  natural  </w:t>
      </w:r>
      <w:proofErr w:type="spellStart"/>
      <w:r w:rsidR="00A93C9A" w:rsidRPr="00A93C9A">
        <w:rPr>
          <w:rFonts w:ascii="Times New Roman" w:hAnsi="Times New Roman" w:cs="Times New Roman"/>
          <w:color w:val="000000"/>
          <w:sz w:val="24"/>
          <w:szCs w:val="24"/>
        </w:rPr>
        <w:t>Chankanaab</w:t>
      </w:r>
      <w:proofErr w:type="spellEnd"/>
      <w:r w:rsidR="00A93C9A" w:rsidRPr="00A93C9A">
        <w:rPr>
          <w:rFonts w:ascii="Times New Roman" w:hAnsi="Times New Roman" w:cs="Times New Roman"/>
          <w:color w:val="000000"/>
          <w:sz w:val="24"/>
          <w:szCs w:val="24"/>
        </w:rPr>
        <w:t xml:space="preserve">  (</w:t>
      </w:r>
      <w:r w:rsidR="00E3435B">
        <w:rPr>
          <w:rFonts w:ascii="Times New Roman" w:hAnsi="Times New Roman" w:cs="Times New Roman"/>
          <w:color w:val="000000"/>
          <w:sz w:val="24"/>
          <w:szCs w:val="24"/>
        </w:rPr>
        <w:t xml:space="preserve">cuyo significado es </w:t>
      </w:r>
      <w:r w:rsidR="00A93C9A" w:rsidRPr="00A93C9A">
        <w:rPr>
          <w:rFonts w:ascii="Times New Roman" w:hAnsi="Times New Roman" w:cs="Times New Roman"/>
          <w:color w:val="000000"/>
          <w:sz w:val="24"/>
          <w:szCs w:val="24"/>
        </w:rPr>
        <w:t xml:space="preserve">“mar  pequeño”  en  lengua  maya), </w:t>
      </w:r>
      <w:r w:rsidR="00A93C9A">
        <w:rPr>
          <w:rFonts w:ascii="Times New Roman" w:hAnsi="Times New Roman" w:cs="Times New Roman"/>
          <w:color w:val="000000"/>
          <w:sz w:val="24"/>
          <w:szCs w:val="24"/>
        </w:rPr>
        <w:t xml:space="preserve">es una </w:t>
      </w:r>
      <w:r w:rsidR="00A93C9A" w:rsidRPr="00A93C9A">
        <w:rPr>
          <w:rFonts w:ascii="Times New Roman" w:hAnsi="Times New Roman" w:cs="Times New Roman"/>
          <w:color w:val="000000"/>
          <w:sz w:val="24"/>
          <w:szCs w:val="24"/>
        </w:rPr>
        <w:t xml:space="preserve"> Área  Natural  Protegida  estatal  </w:t>
      </w:r>
      <w:r w:rsidR="00A93C9A">
        <w:rPr>
          <w:rFonts w:ascii="Times New Roman" w:hAnsi="Times New Roman" w:cs="Times New Roman"/>
          <w:color w:val="000000"/>
          <w:sz w:val="24"/>
          <w:szCs w:val="24"/>
        </w:rPr>
        <w:t xml:space="preserve">con una superficie </w:t>
      </w:r>
      <w:r w:rsidR="00A93C9A" w:rsidRPr="00A93C9A">
        <w:rPr>
          <w:rFonts w:ascii="Times New Roman" w:hAnsi="Times New Roman" w:cs="Times New Roman"/>
          <w:color w:val="000000"/>
          <w:sz w:val="24"/>
          <w:szCs w:val="24"/>
        </w:rPr>
        <w:t>de 13,64 h,</w:t>
      </w:r>
      <w:r w:rsidR="00DB58CF">
        <w:rPr>
          <w:rFonts w:ascii="Times New Roman" w:hAnsi="Times New Roman" w:cs="Times New Roman"/>
          <w:color w:val="000000"/>
          <w:sz w:val="24"/>
          <w:szCs w:val="24"/>
        </w:rPr>
        <w:t xml:space="preserve"> que </w:t>
      </w:r>
      <w:r w:rsidR="00A93C9A">
        <w:rPr>
          <w:rFonts w:ascii="Times New Roman" w:hAnsi="Times New Roman" w:cs="Times New Roman"/>
          <w:color w:val="000000"/>
          <w:sz w:val="24"/>
          <w:szCs w:val="24"/>
        </w:rPr>
        <w:t xml:space="preserve">fue </w:t>
      </w:r>
      <w:r w:rsidR="00A93C9A" w:rsidRPr="00A93C9A">
        <w:rPr>
          <w:rFonts w:ascii="Times New Roman" w:hAnsi="Times New Roman" w:cs="Times New Roman"/>
          <w:color w:val="000000"/>
          <w:sz w:val="24"/>
          <w:szCs w:val="24"/>
        </w:rPr>
        <w:t xml:space="preserve"> decretada como zona</w:t>
      </w:r>
      <w:r w:rsidR="00DB58CF">
        <w:rPr>
          <w:rFonts w:ascii="Times New Roman" w:hAnsi="Times New Roman" w:cs="Times New Roman"/>
          <w:color w:val="000000"/>
          <w:sz w:val="24"/>
          <w:szCs w:val="24"/>
        </w:rPr>
        <w:t xml:space="preserve"> de</w:t>
      </w:r>
      <w:r w:rsidR="00A93C9A" w:rsidRPr="00A93C9A">
        <w:rPr>
          <w:rFonts w:ascii="Times New Roman" w:hAnsi="Times New Roman" w:cs="Times New Roman"/>
          <w:color w:val="000000"/>
          <w:sz w:val="24"/>
          <w:szCs w:val="24"/>
        </w:rPr>
        <w:t xml:space="preserve"> </w:t>
      </w:r>
      <w:r w:rsidR="00A93C9A">
        <w:rPr>
          <w:rFonts w:ascii="Times New Roman" w:hAnsi="Times New Roman" w:cs="Times New Roman"/>
          <w:color w:val="000000"/>
          <w:sz w:val="24"/>
          <w:szCs w:val="24"/>
        </w:rPr>
        <w:t xml:space="preserve">protección de la </w:t>
      </w:r>
      <w:r w:rsidR="00A93C9A" w:rsidRPr="00A93C9A">
        <w:rPr>
          <w:rFonts w:ascii="Times New Roman" w:hAnsi="Times New Roman" w:cs="Times New Roman"/>
          <w:color w:val="000000"/>
          <w:sz w:val="24"/>
          <w:szCs w:val="24"/>
        </w:rPr>
        <w:t>flora</w:t>
      </w:r>
      <w:r w:rsidR="00A93C9A">
        <w:rPr>
          <w:rFonts w:ascii="Times New Roman" w:hAnsi="Times New Roman" w:cs="Times New Roman"/>
          <w:color w:val="000000"/>
          <w:sz w:val="24"/>
          <w:szCs w:val="24"/>
        </w:rPr>
        <w:t xml:space="preserve">, fauna </w:t>
      </w:r>
      <w:r w:rsidR="00BD1C51">
        <w:rPr>
          <w:rFonts w:ascii="Times New Roman" w:hAnsi="Times New Roman" w:cs="Times New Roman"/>
          <w:color w:val="000000"/>
          <w:sz w:val="24"/>
          <w:szCs w:val="24"/>
        </w:rPr>
        <w:t>silvestre</w:t>
      </w:r>
      <w:r w:rsidR="00A93C9A">
        <w:rPr>
          <w:rFonts w:ascii="Times New Roman" w:hAnsi="Times New Roman" w:cs="Times New Roman"/>
          <w:color w:val="000000"/>
          <w:sz w:val="24"/>
          <w:szCs w:val="24"/>
        </w:rPr>
        <w:t xml:space="preserve"> y acuática, además </w:t>
      </w:r>
      <w:r w:rsidR="00DB58CF">
        <w:rPr>
          <w:rFonts w:ascii="Times New Roman" w:hAnsi="Times New Roman" w:cs="Times New Roman"/>
          <w:color w:val="000000"/>
          <w:sz w:val="24"/>
          <w:szCs w:val="24"/>
        </w:rPr>
        <w:t xml:space="preserve">cuenta con un </w:t>
      </w:r>
      <w:r w:rsidR="00A93C9A">
        <w:rPr>
          <w:rFonts w:ascii="Times New Roman" w:hAnsi="Times New Roman" w:cs="Times New Roman"/>
          <w:color w:val="000000"/>
          <w:sz w:val="24"/>
          <w:szCs w:val="24"/>
        </w:rPr>
        <w:t>jardín botánico (</w:t>
      </w:r>
      <w:proofErr w:type="spellStart"/>
      <w:r w:rsidR="00A93C9A" w:rsidRPr="00A93C9A">
        <w:rPr>
          <w:rFonts w:ascii="Times New Roman" w:hAnsi="Times New Roman" w:cs="Times New Roman"/>
          <w:i/>
          <w:color w:val="000000"/>
          <w:sz w:val="24"/>
          <w:szCs w:val="24"/>
        </w:rPr>
        <w:t>S</w:t>
      </w:r>
      <w:r w:rsidR="00A93C9A">
        <w:rPr>
          <w:rFonts w:ascii="Times New Roman" w:hAnsi="Times New Roman" w:cs="Times New Roman"/>
          <w:i/>
          <w:color w:val="000000"/>
          <w:sz w:val="24"/>
          <w:szCs w:val="24"/>
        </w:rPr>
        <w:t>egrado</w:t>
      </w:r>
      <w:proofErr w:type="spellEnd"/>
      <w:r w:rsidR="00A93C9A">
        <w:rPr>
          <w:rFonts w:ascii="Times New Roman" w:hAnsi="Times New Roman" w:cs="Times New Roman"/>
          <w:i/>
          <w:color w:val="000000"/>
          <w:sz w:val="24"/>
          <w:szCs w:val="24"/>
        </w:rPr>
        <w:t>, et al., 2015</w:t>
      </w:r>
      <w:r w:rsidR="002B69D7" w:rsidRPr="000A3209">
        <w:rPr>
          <w:rFonts w:ascii="Times New Roman" w:hAnsi="Times New Roman" w:cs="Times New Roman"/>
          <w:color w:val="000000"/>
          <w:sz w:val="24"/>
          <w:szCs w:val="24"/>
        </w:rPr>
        <w:t>.</w:t>
      </w:r>
      <w:r w:rsidRPr="000A3209">
        <w:rPr>
          <w:rFonts w:ascii="Times New Roman" w:eastAsia="Times New Roman" w:hAnsi="Times New Roman" w:cs="Times New Roman"/>
          <w:sz w:val="24"/>
          <w:szCs w:val="24"/>
        </w:rPr>
        <w:t xml:space="preserve"> El Cedral, pueblo en el que se celebra la “fiesta de la Santa Cruz” y finalmente en esta misma ruta la</w:t>
      </w:r>
      <w:r w:rsidR="00BD1C51">
        <w:rPr>
          <w:rFonts w:ascii="Times New Roman" w:eastAsia="Times New Roman" w:hAnsi="Times New Roman" w:cs="Times New Roman"/>
          <w:sz w:val="24"/>
          <w:szCs w:val="24"/>
        </w:rPr>
        <w:t xml:space="preserve"> Reserva Ecológica de Punta Sur </w:t>
      </w:r>
      <w:r w:rsidR="00D71453">
        <w:rPr>
          <w:rFonts w:ascii="Times New Roman" w:eastAsia="Times New Roman" w:hAnsi="Times New Roman" w:cs="Times New Roman"/>
          <w:sz w:val="24"/>
          <w:szCs w:val="24"/>
        </w:rPr>
        <w:t xml:space="preserve">que incluye áreas de playa, arrecifes, </w:t>
      </w:r>
      <w:r w:rsidR="00D71453">
        <w:rPr>
          <w:rFonts w:ascii="Times New Roman" w:hAnsi="Times New Roman" w:cs="Times New Roman"/>
          <w:color w:val="000000"/>
          <w:sz w:val="24"/>
          <w:szCs w:val="24"/>
        </w:rPr>
        <w:t>L</w:t>
      </w:r>
      <w:r w:rsidR="00D71453" w:rsidRPr="000A3209">
        <w:rPr>
          <w:rFonts w:ascii="Times New Roman" w:hAnsi="Times New Roman" w:cs="Times New Roman"/>
          <w:color w:val="000000"/>
          <w:sz w:val="24"/>
          <w:szCs w:val="24"/>
        </w:rPr>
        <w:t>a Laguna Colombia</w:t>
      </w:r>
      <w:r w:rsidR="00EC7D4B">
        <w:rPr>
          <w:rFonts w:ascii="Times New Roman" w:hAnsi="Times New Roman" w:cs="Times New Roman"/>
          <w:color w:val="000000"/>
          <w:sz w:val="24"/>
          <w:szCs w:val="24"/>
        </w:rPr>
        <w:t xml:space="preserve"> zona de conservación </w:t>
      </w:r>
      <w:r w:rsidR="00D71453" w:rsidRPr="000A3209">
        <w:rPr>
          <w:rFonts w:ascii="Times New Roman" w:hAnsi="Times New Roman" w:cs="Times New Roman"/>
          <w:color w:val="000000"/>
          <w:sz w:val="24"/>
          <w:szCs w:val="24"/>
        </w:rPr>
        <w:t>con una superficie de 674 Ha</w:t>
      </w:r>
      <w:r w:rsidR="00D71453">
        <w:rPr>
          <w:rFonts w:ascii="Times New Roman" w:hAnsi="Times New Roman" w:cs="Times New Roman"/>
          <w:color w:val="000000"/>
          <w:sz w:val="24"/>
          <w:szCs w:val="24"/>
        </w:rPr>
        <w:t>, un sitio arqueólogo maya y el Faro Celarain al int</w:t>
      </w:r>
      <w:r w:rsidR="00DB58CF">
        <w:rPr>
          <w:rFonts w:ascii="Times New Roman" w:hAnsi="Times New Roman" w:cs="Times New Roman"/>
          <w:color w:val="000000"/>
          <w:sz w:val="24"/>
          <w:szCs w:val="24"/>
        </w:rPr>
        <w:t xml:space="preserve">erior de éste el </w:t>
      </w:r>
      <w:r w:rsidR="00D71453">
        <w:rPr>
          <w:rFonts w:ascii="Times New Roman" w:hAnsi="Times New Roman" w:cs="Times New Roman"/>
          <w:color w:val="000000"/>
          <w:sz w:val="24"/>
          <w:szCs w:val="24"/>
        </w:rPr>
        <w:t>museo de la navegación</w:t>
      </w:r>
      <w:r w:rsidR="00D71453">
        <w:rPr>
          <w:rFonts w:ascii="Times New Roman" w:eastAsia="Times New Roman" w:hAnsi="Times New Roman" w:cs="Times New Roman"/>
          <w:sz w:val="24"/>
          <w:szCs w:val="24"/>
        </w:rPr>
        <w:t xml:space="preserve"> </w:t>
      </w:r>
      <w:r w:rsidR="00BD1C51">
        <w:rPr>
          <w:rFonts w:ascii="Times New Roman" w:eastAsia="Times New Roman" w:hAnsi="Times New Roman" w:cs="Times New Roman"/>
          <w:sz w:val="24"/>
          <w:szCs w:val="24"/>
        </w:rPr>
        <w:t>(Trabajo de campo, 2021).</w:t>
      </w:r>
    </w:p>
    <w:p w14:paraId="24D3BEFE" w14:textId="6127F87F" w:rsidR="005D3EA9" w:rsidRDefault="006B1808" w:rsidP="001B4B99">
      <w:pPr>
        <w:spacing w:before="240" w:after="240" w:line="240" w:lineRule="auto"/>
        <w:jc w:val="both"/>
        <w:rPr>
          <w:rFonts w:ascii="Times New Roman" w:eastAsia="Times New Roman" w:hAnsi="Times New Roman" w:cs="Times New Roman"/>
          <w:sz w:val="24"/>
          <w:szCs w:val="24"/>
        </w:rPr>
      </w:pPr>
      <w:r w:rsidRPr="000A3209">
        <w:rPr>
          <w:rFonts w:ascii="Times New Roman" w:eastAsia="Times New Roman" w:hAnsi="Times New Roman" w:cs="Times New Roman"/>
          <w:sz w:val="24"/>
          <w:szCs w:val="24"/>
        </w:rPr>
        <w:t xml:space="preserve">En la zona centro se ubica el muelle para transbordadores de pasajeros y a unos metros el parque principal “Benito Juárez”, la iglesia católica de “San Miguel”, </w:t>
      </w:r>
      <w:r w:rsidR="00607587" w:rsidRPr="000A3209">
        <w:rPr>
          <w:rFonts w:ascii="Times New Roman" w:eastAsia="Times New Roman" w:hAnsi="Times New Roman" w:cs="Times New Roman"/>
          <w:sz w:val="24"/>
          <w:szCs w:val="24"/>
        </w:rPr>
        <w:t>hay una variedad de servicios entre ellos</w:t>
      </w:r>
      <w:r w:rsidRPr="000A3209">
        <w:rPr>
          <w:rFonts w:ascii="Times New Roman" w:eastAsia="Times New Roman" w:hAnsi="Times New Roman" w:cs="Times New Roman"/>
          <w:sz w:val="24"/>
          <w:szCs w:val="24"/>
        </w:rPr>
        <w:t xml:space="preserve">, restaurantes, </w:t>
      </w:r>
      <w:r w:rsidR="005D3EA9">
        <w:rPr>
          <w:rFonts w:ascii="Times New Roman" w:eastAsia="Times New Roman" w:hAnsi="Times New Roman" w:cs="Times New Roman"/>
          <w:sz w:val="24"/>
          <w:szCs w:val="24"/>
        </w:rPr>
        <w:t xml:space="preserve">joyerías, </w:t>
      </w:r>
      <w:r w:rsidRPr="000A3209">
        <w:rPr>
          <w:rFonts w:ascii="Times New Roman" w:eastAsia="Times New Roman" w:hAnsi="Times New Roman" w:cs="Times New Roman"/>
          <w:sz w:val="24"/>
          <w:szCs w:val="24"/>
        </w:rPr>
        <w:t>hot</w:t>
      </w:r>
      <w:r w:rsidRPr="00DF0B57">
        <w:rPr>
          <w:rFonts w:ascii="Times New Roman" w:eastAsia="Times New Roman" w:hAnsi="Times New Roman" w:cs="Times New Roman"/>
          <w:sz w:val="24"/>
          <w:szCs w:val="24"/>
        </w:rPr>
        <w:t xml:space="preserve">eles pequeños o familiares, centros de diversión nocturna, </w:t>
      </w:r>
      <w:proofErr w:type="spellStart"/>
      <w:r w:rsidRPr="00DF0B57">
        <w:rPr>
          <w:rFonts w:ascii="Times New Roman" w:eastAsia="Times New Roman" w:hAnsi="Times New Roman" w:cs="Times New Roman"/>
          <w:sz w:val="24"/>
          <w:szCs w:val="24"/>
        </w:rPr>
        <w:t>rentadoras</w:t>
      </w:r>
      <w:proofErr w:type="spellEnd"/>
      <w:r w:rsidR="00607587">
        <w:rPr>
          <w:rFonts w:ascii="Times New Roman" w:eastAsia="Times New Roman" w:hAnsi="Times New Roman" w:cs="Times New Roman"/>
          <w:sz w:val="24"/>
          <w:szCs w:val="24"/>
        </w:rPr>
        <w:t xml:space="preserve"> de autos, motos, bicicletas, de equipo de buceo y </w:t>
      </w:r>
      <w:r w:rsidR="00520CC1">
        <w:rPr>
          <w:rFonts w:ascii="Times New Roman" w:eastAsia="Times New Roman" w:hAnsi="Times New Roman" w:cs="Times New Roman"/>
          <w:sz w:val="24"/>
          <w:szCs w:val="24"/>
        </w:rPr>
        <w:t>esnó</w:t>
      </w:r>
      <w:r w:rsidR="00607587">
        <w:rPr>
          <w:rFonts w:ascii="Times New Roman" w:eastAsia="Times New Roman" w:hAnsi="Times New Roman" w:cs="Times New Roman"/>
          <w:sz w:val="24"/>
          <w:szCs w:val="24"/>
        </w:rPr>
        <w:t>rquel</w:t>
      </w:r>
      <w:r w:rsidRPr="00DF0B57">
        <w:rPr>
          <w:rFonts w:ascii="Times New Roman" w:eastAsia="Times New Roman" w:hAnsi="Times New Roman" w:cs="Times New Roman"/>
          <w:sz w:val="24"/>
          <w:szCs w:val="24"/>
        </w:rPr>
        <w:t xml:space="preserve">, </w:t>
      </w:r>
      <w:r w:rsidR="00D7147F">
        <w:rPr>
          <w:rFonts w:ascii="Times New Roman" w:eastAsia="Times New Roman" w:hAnsi="Times New Roman" w:cs="Times New Roman"/>
          <w:sz w:val="24"/>
          <w:szCs w:val="24"/>
        </w:rPr>
        <w:t>tiendas de artesanías</w:t>
      </w:r>
      <w:r w:rsidR="00D7147F" w:rsidRPr="00EC7D4B">
        <w:rPr>
          <w:rFonts w:ascii="Times New Roman" w:eastAsia="Times New Roman" w:hAnsi="Times New Roman" w:cs="Times New Roman"/>
          <w:sz w:val="24"/>
          <w:szCs w:val="24"/>
        </w:rPr>
        <w:t xml:space="preserve">, </w:t>
      </w:r>
      <w:r w:rsidR="00EC7D4B" w:rsidRPr="00EC7D4B">
        <w:rPr>
          <w:rFonts w:ascii="Times New Roman" w:eastAsia="Times New Roman" w:hAnsi="Times New Roman" w:cs="Times New Roman"/>
          <w:sz w:val="24"/>
          <w:szCs w:val="24"/>
        </w:rPr>
        <w:t>comercio</w:t>
      </w:r>
      <w:r w:rsidR="00EC7D4B">
        <w:rPr>
          <w:rFonts w:ascii="Times New Roman" w:eastAsia="Times New Roman" w:hAnsi="Times New Roman" w:cs="Times New Roman"/>
          <w:sz w:val="24"/>
          <w:szCs w:val="24"/>
        </w:rPr>
        <w:t>s</w:t>
      </w:r>
      <w:r w:rsidR="00EC7D4B" w:rsidRPr="00EC7D4B">
        <w:rPr>
          <w:rFonts w:ascii="Times New Roman" w:eastAsia="Times New Roman" w:hAnsi="Times New Roman" w:cs="Times New Roman"/>
          <w:sz w:val="24"/>
          <w:szCs w:val="24"/>
        </w:rPr>
        <w:t xml:space="preserve"> de venta de </w:t>
      </w:r>
      <w:r w:rsidRPr="00EC7D4B">
        <w:rPr>
          <w:rFonts w:ascii="Times New Roman" w:eastAsia="Times New Roman" w:hAnsi="Times New Roman" w:cs="Times New Roman"/>
          <w:sz w:val="24"/>
          <w:szCs w:val="24"/>
        </w:rPr>
        <w:t>ropa</w:t>
      </w:r>
      <w:r w:rsidRPr="00DF0B57">
        <w:rPr>
          <w:rFonts w:ascii="Times New Roman" w:eastAsia="Times New Roman" w:hAnsi="Times New Roman" w:cs="Times New Roman"/>
          <w:sz w:val="24"/>
          <w:szCs w:val="24"/>
        </w:rPr>
        <w:t xml:space="preserve"> típica, entre otros.</w:t>
      </w:r>
    </w:p>
    <w:p w14:paraId="2195FCCA" w14:textId="53494B67" w:rsidR="00A51DE3" w:rsidRDefault="006B1808" w:rsidP="001B4B99">
      <w:pPr>
        <w:spacing w:before="240" w:after="240" w:line="24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En la zona norte, existen playas públicas, las rocas, casitas y enfrente</w:t>
      </w:r>
      <w:r w:rsidR="005D3EA9">
        <w:rPr>
          <w:rFonts w:ascii="Times New Roman" w:eastAsia="Times New Roman" w:hAnsi="Times New Roman" w:cs="Times New Roman"/>
          <w:sz w:val="24"/>
          <w:szCs w:val="24"/>
        </w:rPr>
        <w:t xml:space="preserve"> de ésta</w:t>
      </w:r>
      <w:r w:rsidRPr="00DF0B57">
        <w:rPr>
          <w:rFonts w:ascii="Times New Roman" w:eastAsia="Times New Roman" w:hAnsi="Times New Roman" w:cs="Times New Roman"/>
          <w:sz w:val="24"/>
          <w:szCs w:val="24"/>
        </w:rPr>
        <w:t xml:space="preserve"> la iglesia católica de las “Tres culturas”, cuatro clubes de playa, el puerto de abrigo, hoteles nacionales y transnacionales, condominios y el campo de golf. Colinda con el área de protección de flora y fauna isla de Cozumel, cuyo acceso es de terracería hacia la isla de la pasión y zonas de lagunas</w:t>
      </w:r>
      <w:r w:rsidR="005D3EA9">
        <w:rPr>
          <w:rFonts w:ascii="Times New Roman" w:eastAsia="Times New Roman" w:hAnsi="Times New Roman" w:cs="Times New Roman"/>
          <w:sz w:val="24"/>
          <w:szCs w:val="24"/>
        </w:rPr>
        <w:t xml:space="preserve"> (Trabajo de campo, 2021)</w:t>
      </w:r>
      <w:r w:rsidRPr="00DF0B57">
        <w:rPr>
          <w:rFonts w:ascii="Times New Roman" w:eastAsia="Times New Roman" w:hAnsi="Times New Roman" w:cs="Times New Roman"/>
          <w:sz w:val="24"/>
          <w:szCs w:val="24"/>
        </w:rPr>
        <w:t xml:space="preserve">. </w:t>
      </w:r>
    </w:p>
    <w:p w14:paraId="0DEDFC46" w14:textId="177AD71B" w:rsidR="00607587" w:rsidRDefault="00520CC1" w:rsidP="001B4B99">
      <w:pPr>
        <w:spacing w:before="240" w:after="240" w:line="240" w:lineRule="auto"/>
        <w:jc w:val="both"/>
        <w:rPr>
          <w:rFonts w:ascii="Times New Roman" w:eastAsia="Times New Roman" w:hAnsi="Times New Roman" w:cs="Times New Roman"/>
          <w:sz w:val="24"/>
          <w:szCs w:val="24"/>
        </w:rPr>
      </w:pPr>
      <w:r w:rsidRPr="002922EC">
        <w:rPr>
          <w:rFonts w:ascii="Times New Roman" w:eastAsia="Times New Roman" w:hAnsi="Times New Roman" w:cs="Times New Roman"/>
          <w:sz w:val="24"/>
          <w:szCs w:val="24"/>
        </w:rPr>
        <w:t>Finalmente,</w:t>
      </w:r>
      <w:r w:rsidR="006B1808" w:rsidRPr="002922EC">
        <w:rPr>
          <w:rFonts w:ascii="Times New Roman" w:eastAsia="Times New Roman" w:hAnsi="Times New Roman" w:cs="Times New Roman"/>
          <w:sz w:val="24"/>
          <w:szCs w:val="24"/>
        </w:rPr>
        <w:t xml:space="preserve"> en la zona occidental, destacan Mezcalito con una zona de servicios de alimentos y bebida</w:t>
      </w:r>
      <w:r w:rsidR="00DB58CF">
        <w:rPr>
          <w:rFonts w:ascii="Times New Roman" w:eastAsia="Times New Roman" w:hAnsi="Times New Roman" w:cs="Times New Roman"/>
          <w:sz w:val="24"/>
          <w:szCs w:val="24"/>
        </w:rPr>
        <w:t>s</w:t>
      </w:r>
      <w:r w:rsidR="006B1808" w:rsidRPr="002922EC">
        <w:rPr>
          <w:rFonts w:ascii="Times New Roman" w:eastAsia="Times New Roman" w:hAnsi="Times New Roman" w:cs="Times New Roman"/>
          <w:sz w:val="24"/>
          <w:szCs w:val="24"/>
        </w:rPr>
        <w:t xml:space="preserve">, la playa pública de Chen Río, entre otras </w:t>
      </w:r>
      <w:r w:rsidR="00B74590">
        <w:rPr>
          <w:rFonts w:ascii="Times New Roman" w:eastAsia="Times New Roman" w:hAnsi="Times New Roman" w:cs="Times New Roman"/>
          <w:sz w:val="24"/>
          <w:szCs w:val="24"/>
        </w:rPr>
        <w:t xml:space="preserve">playas </w:t>
      </w:r>
      <w:r w:rsidR="006B1808" w:rsidRPr="002922EC">
        <w:rPr>
          <w:rFonts w:ascii="Times New Roman" w:eastAsia="Times New Roman" w:hAnsi="Times New Roman" w:cs="Times New Roman"/>
          <w:sz w:val="24"/>
          <w:szCs w:val="24"/>
        </w:rPr>
        <w:t xml:space="preserve">privadas como </w:t>
      </w:r>
      <w:proofErr w:type="spellStart"/>
      <w:r w:rsidR="006B1808" w:rsidRPr="002922EC">
        <w:rPr>
          <w:rFonts w:ascii="Times New Roman" w:eastAsia="Times New Roman" w:hAnsi="Times New Roman" w:cs="Times New Roman"/>
          <w:sz w:val="24"/>
          <w:szCs w:val="24"/>
        </w:rPr>
        <w:t>Coconut</w:t>
      </w:r>
      <w:proofErr w:type="spellEnd"/>
      <w:r w:rsidR="006B1808" w:rsidRPr="002922EC">
        <w:rPr>
          <w:rFonts w:ascii="Times New Roman" w:eastAsia="Times New Roman" w:hAnsi="Times New Roman" w:cs="Times New Roman"/>
          <w:sz w:val="24"/>
          <w:szCs w:val="24"/>
        </w:rPr>
        <w:t xml:space="preserve"> y Punta Morena, </w:t>
      </w:r>
      <w:r w:rsidR="006B532B">
        <w:rPr>
          <w:rFonts w:ascii="Times New Roman" w:eastAsia="Times New Roman" w:hAnsi="Times New Roman" w:cs="Times New Roman"/>
          <w:sz w:val="24"/>
          <w:szCs w:val="24"/>
        </w:rPr>
        <w:t>parte de la zona de playa está compuesta de área blanca, es rocosa con fuerte oleaje. C</w:t>
      </w:r>
      <w:r w:rsidR="006B1808" w:rsidRPr="002922EC">
        <w:rPr>
          <w:rFonts w:ascii="Times New Roman" w:eastAsia="Times New Roman" w:hAnsi="Times New Roman" w:cs="Times New Roman"/>
          <w:sz w:val="24"/>
          <w:szCs w:val="24"/>
        </w:rPr>
        <w:t xml:space="preserve">abe señalar </w:t>
      </w:r>
      <w:r w:rsidR="006B532B" w:rsidRPr="002922EC">
        <w:rPr>
          <w:rFonts w:ascii="Times New Roman" w:eastAsia="Times New Roman" w:hAnsi="Times New Roman" w:cs="Times New Roman"/>
          <w:sz w:val="24"/>
          <w:szCs w:val="24"/>
        </w:rPr>
        <w:t>que,</w:t>
      </w:r>
      <w:r w:rsidR="006B1808" w:rsidRPr="002922EC">
        <w:rPr>
          <w:rFonts w:ascii="Times New Roman" w:eastAsia="Times New Roman" w:hAnsi="Times New Roman" w:cs="Times New Roman"/>
          <w:sz w:val="24"/>
          <w:szCs w:val="24"/>
        </w:rPr>
        <w:t xml:space="preserve"> desde Mezcalitos hasta</w:t>
      </w:r>
      <w:r w:rsidR="006B532B">
        <w:rPr>
          <w:rFonts w:ascii="Times New Roman" w:eastAsia="Times New Roman" w:hAnsi="Times New Roman" w:cs="Times New Roman"/>
          <w:sz w:val="24"/>
          <w:szCs w:val="24"/>
        </w:rPr>
        <w:t xml:space="preserve"> la playa S</w:t>
      </w:r>
      <w:r w:rsidR="006B1808" w:rsidRPr="002922EC">
        <w:rPr>
          <w:rFonts w:ascii="Times New Roman" w:eastAsia="Times New Roman" w:hAnsi="Times New Roman" w:cs="Times New Roman"/>
          <w:sz w:val="24"/>
          <w:szCs w:val="24"/>
        </w:rPr>
        <w:t>an Martín</w:t>
      </w:r>
      <w:r w:rsidR="006B532B">
        <w:rPr>
          <w:rFonts w:ascii="Times New Roman" w:eastAsia="Times New Roman" w:hAnsi="Times New Roman" w:cs="Times New Roman"/>
          <w:sz w:val="24"/>
          <w:szCs w:val="24"/>
        </w:rPr>
        <w:t>,</w:t>
      </w:r>
      <w:r w:rsidR="006B1808" w:rsidRPr="002922EC">
        <w:rPr>
          <w:rFonts w:ascii="Times New Roman" w:eastAsia="Times New Roman" w:hAnsi="Times New Roman" w:cs="Times New Roman"/>
          <w:sz w:val="24"/>
          <w:szCs w:val="24"/>
        </w:rPr>
        <w:t xml:space="preserve"> </w:t>
      </w:r>
      <w:r w:rsidR="002922EC" w:rsidRPr="002922EC">
        <w:rPr>
          <w:rFonts w:ascii="Times New Roman" w:eastAsia="Times New Roman" w:hAnsi="Times New Roman" w:cs="Times New Roman"/>
          <w:sz w:val="24"/>
          <w:szCs w:val="24"/>
        </w:rPr>
        <w:t xml:space="preserve">la </w:t>
      </w:r>
      <w:r w:rsidR="006B1808" w:rsidRPr="002922EC">
        <w:rPr>
          <w:rFonts w:ascii="Times New Roman" w:eastAsia="Times New Roman" w:hAnsi="Times New Roman" w:cs="Times New Roman"/>
          <w:sz w:val="24"/>
          <w:szCs w:val="24"/>
        </w:rPr>
        <w:t>Comisión Nacional de Área Protegidas</w:t>
      </w:r>
      <w:r w:rsidR="00B74590">
        <w:rPr>
          <w:rFonts w:ascii="Times New Roman" w:eastAsia="Times New Roman" w:hAnsi="Times New Roman" w:cs="Times New Roman"/>
          <w:sz w:val="24"/>
          <w:szCs w:val="24"/>
        </w:rPr>
        <w:t xml:space="preserve"> (CONANP)</w:t>
      </w:r>
      <w:r w:rsidR="006B1808" w:rsidRPr="002922EC">
        <w:rPr>
          <w:rFonts w:ascii="Times New Roman" w:eastAsia="Times New Roman" w:hAnsi="Times New Roman" w:cs="Times New Roman"/>
          <w:sz w:val="24"/>
          <w:szCs w:val="24"/>
        </w:rPr>
        <w:t xml:space="preserve"> </w:t>
      </w:r>
      <w:r w:rsidR="006B532B">
        <w:rPr>
          <w:rFonts w:ascii="Times New Roman" w:eastAsia="Times New Roman" w:hAnsi="Times New Roman" w:cs="Times New Roman"/>
          <w:sz w:val="24"/>
          <w:szCs w:val="24"/>
        </w:rPr>
        <w:t xml:space="preserve">tiene a su cargo el control y cuidado de la </w:t>
      </w:r>
      <w:r w:rsidR="002922EC" w:rsidRPr="002922EC">
        <w:rPr>
          <w:rFonts w:ascii="Times New Roman" w:eastAsia="Times New Roman" w:hAnsi="Times New Roman" w:cs="Times New Roman"/>
          <w:sz w:val="24"/>
          <w:szCs w:val="24"/>
        </w:rPr>
        <w:t xml:space="preserve">zona </w:t>
      </w:r>
      <w:r w:rsidR="006B1808" w:rsidRPr="002922EC">
        <w:rPr>
          <w:rFonts w:ascii="Times New Roman" w:eastAsia="Times New Roman" w:hAnsi="Times New Roman" w:cs="Times New Roman"/>
          <w:sz w:val="24"/>
          <w:szCs w:val="24"/>
        </w:rPr>
        <w:t>para el desove</w:t>
      </w:r>
      <w:r w:rsidR="006B532B">
        <w:rPr>
          <w:rFonts w:ascii="Times New Roman" w:eastAsia="Times New Roman" w:hAnsi="Times New Roman" w:cs="Times New Roman"/>
          <w:sz w:val="24"/>
          <w:szCs w:val="24"/>
        </w:rPr>
        <w:t xml:space="preserve"> de tortugas, así como el </w:t>
      </w:r>
      <w:r w:rsidR="006B1808" w:rsidRPr="00DF0B57">
        <w:rPr>
          <w:rFonts w:ascii="Times New Roman" w:eastAsia="Times New Roman" w:hAnsi="Times New Roman" w:cs="Times New Roman"/>
          <w:sz w:val="24"/>
          <w:szCs w:val="24"/>
        </w:rPr>
        <w:t xml:space="preserve">programa </w:t>
      </w:r>
      <w:r w:rsidR="006B532B">
        <w:rPr>
          <w:rFonts w:ascii="Times New Roman" w:eastAsia="Times New Roman" w:hAnsi="Times New Roman" w:cs="Times New Roman"/>
          <w:sz w:val="24"/>
          <w:szCs w:val="24"/>
        </w:rPr>
        <w:t xml:space="preserve">para la </w:t>
      </w:r>
      <w:r w:rsidR="006B1808" w:rsidRPr="00DF0B57">
        <w:rPr>
          <w:rFonts w:ascii="Times New Roman" w:eastAsia="Times New Roman" w:hAnsi="Times New Roman" w:cs="Times New Roman"/>
          <w:sz w:val="24"/>
          <w:szCs w:val="24"/>
        </w:rPr>
        <w:t xml:space="preserve">liberación de </w:t>
      </w:r>
      <w:r w:rsidR="00985E29">
        <w:rPr>
          <w:rFonts w:ascii="Times New Roman" w:eastAsia="Times New Roman" w:hAnsi="Times New Roman" w:cs="Times New Roman"/>
          <w:sz w:val="24"/>
          <w:szCs w:val="24"/>
        </w:rPr>
        <w:t xml:space="preserve">las </w:t>
      </w:r>
      <w:r w:rsidR="006B1808" w:rsidRPr="00DF0B57">
        <w:rPr>
          <w:rFonts w:ascii="Times New Roman" w:eastAsia="Times New Roman" w:hAnsi="Times New Roman" w:cs="Times New Roman"/>
          <w:sz w:val="24"/>
          <w:szCs w:val="24"/>
        </w:rPr>
        <w:t>crías (Trabajo de campo, 2020).</w:t>
      </w:r>
    </w:p>
    <w:p w14:paraId="6725F3BC" w14:textId="66E3A1BF" w:rsidR="009E0FFC" w:rsidRDefault="006448BE" w:rsidP="001B4B99">
      <w:pPr>
        <w:spacing w:after="0" w:line="24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En el año 2020 el municipio contaba con 88, 626 habitantes (Censo de Población y Vivienda, 2020).</w:t>
      </w:r>
      <w:r>
        <w:rPr>
          <w:rFonts w:ascii="Times New Roman" w:eastAsia="Times New Roman" w:hAnsi="Times New Roman" w:cs="Times New Roman"/>
          <w:sz w:val="24"/>
          <w:szCs w:val="24"/>
        </w:rPr>
        <w:t xml:space="preserve"> </w:t>
      </w:r>
      <w:r w:rsidRPr="00DF0B57">
        <w:rPr>
          <w:rFonts w:ascii="Times New Roman" w:eastAsia="Times New Roman" w:hAnsi="Times New Roman" w:cs="Times New Roman"/>
          <w:sz w:val="24"/>
          <w:szCs w:val="24"/>
        </w:rPr>
        <w:t>Según información del INEGI (2016), el 86.38% de la población ocupada está concentrada en el sector terciario, que comprende el comerc</w:t>
      </w:r>
      <w:r w:rsidR="007F6D8B">
        <w:rPr>
          <w:rFonts w:ascii="Times New Roman" w:eastAsia="Times New Roman" w:hAnsi="Times New Roman" w:cs="Times New Roman"/>
          <w:sz w:val="24"/>
          <w:szCs w:val="24"/>
        </w:rPr>
        <w:t xml:space="preserve">io y servicios como el turismo. </w:t>
      </w:r>
      <w:r w:rsidR="006B1808" w:rsidRPr="00DF0B57">
        <w:rPr>
          <w:rFonts w:ascii="Times New Roman" w:eastAsia="Times New Roman" w:hAnsi="Times New Roman" w:cs="Times New Roman"/>
          <w:sz w:val="24"/>
          <w:szCs w:val="24"/>
        </w:rPr>
        <w:t>Para el estado de Quintana Roo, la actividad turística representa una importante aportación al total de divisas que ingresa</w:t>
      </w:r>
      <w:r w:rsidR="00B74590">
        <w:rPr>
          <w:rFonts w:ascii="Times New Roman" w:eastAsia="Times New Roman" w:hAnsi="Times New Roman" w:cs="Times New Roman"/>
          <w:sz w:val="24"/>
          <w:szCs w:val="24"/>
        </w:rPr>
        <w:t>n</w:t>
      </w:r>
      <w:r w:rsidR="006B1808" w:rsidRPr="00DF0B57">
        <w:rPr>
          <w:rFonts w:ascii="Times New Roman" w:eastAsia="Times New Roman" w:hAnsi="Times New Roman" w:cs="Times New Roman"/>
          <w:sz w:val="24"/>
          <w:szCs w:val="24"/>
        </w:rPr>
        <w:t xml:space="preserve"> a México, así lo reportan los indicadores turísticos de la Secretar</w:t>
      </w:r>
      <w:r w:rsidR="00B74590">
        <w:rPr>
          <w:rFonts w:ascii="Times New Roman" w:eastAsia="Times New Roman" w:hAnsi="Times New Roman" w:cs="Times New Roman"/>
          <w:sz w:val="24"/>
          <w:szCs w:val="24"/>
        </w:rPr>
        <w:t>í</w:t>
      </w:r>
      <w:r w:rsidR="006B1808" w:rsidRPr="00DF0B57">
        <w:rPr>
          <w:rFonts w:ascii="Times New Roman" w:eastAsia="Times New Roman" w:hAnsi="Times New Roman" w:cs="Times New Roman"/>
          <w:sz w:val="24"/>
          <w:szCs w:val="24"/>
        </w:rPr>
        <w:t xml:space="preserve">a estatal de turismo, que para el 2019, la contribución fue del 34% </w:t>
      </w:r>
      <w:r w:rsidR="00B74590">
        <w:rPr>
          <w:rFonts w:ascii="Times New Roman" w:eastAsia="Times New Roman" w:hAnsi="Times New Roman" w:cs="Times New Roman"/>
          <w:sz w:val="24"/>
          <w:szCs w:val="24"/>
        </w:rPr>
        <w:t xml:space="preserve">según datos de la Secretaría de Turismo </w:t>
      </w:r>
      <w:r w:rsidR="006B1808" w:rsidRPr="00DF0B57">
        <w:rPr>
          <w:rFonts w:ascii="Times New Roman" w:eastAsia="Times New Roman" w:hAnsi="Times New Roman" w:cs="Times New Roman"/>
          <w:sz w:val="24"/>
          <w:szCs w:val="24"/>
        </w:rPr>
        <w:t>(SEDETUR, 2019). En el 2019 se registraron 15,092, 762 llegadas de turistas en el estado, de los cuales 941,943 visitaron Cozumel, mientras que para el 2018 fueron 14,279,813 turistas en todo el estado y 939,536 en Cozumel (SEDETUR, 2018 y 2019). Por lo antes mencionado, surge el interés de indagar acerca del impacto de COVID-19 en el empleo generado en el sector turístico de Cozumel.</w:t>
      </w:r>
    </w:p>
    <w:p w14:paraId="45C0F7B9" w14:textId="77777777" w:rsidR="00EC7D4B" w:rsidRDefault="00EC7D4B" w:rsidP="001B4B99">
      <w:pPr>
        <w:spacing w:after="0" w:line="240" w:lineRule="auto"/>
        <w:jc w:val="both"/>
        <w:rPr>
          <w:rFonts w:ascii="Times New Roman" w:eastAsia="Times New Roman" w:hAnsi="Times New Roman" w:cs="Times New Roman"/>
          <w:sz w:val="24"/>
          <w:szCs w:val="24"/>
        </w:rPr>
      </w:pPr>
    </w:p>
    <w:p w14:paraId="7DBE0947" w14:textId="6A20BE72" w:rsidR="009E0FFC" w:rsidRPr="001B67D4" w:rsidRDefault="006B1808" w:rsidP="001B4B99">
      <w:pPr>
        <w:pStyle w:val="Prrafodelista"/>
        <w:numPr>
          <w:ilvl w:val="1"/>
          <w:numId w:val="4"/>
        </w:numPr>
        <w:pBdr>
          <w:top w:val="nil"/>
          <w:left w:val="nil"/>
          <w:bottom w:val="nil"/>
          <w:right w:val="nil"/>
          <w:between w:val="nil"/>
        </w:pBdr>
        <w:jc w:val="both"/>
        <w:rPr>
          <w:rFonts w:ascii="Times New Roman" w:eastAsia="Times New Roman" w:hAnsi="Times New Roman" w:cs="Times New Roman"/>
          <w:b/>
          <w:sz w:val="24"/>
          <w:szCs w:val="24"/>
        </w:rPr>
      </w:pPr>
      <w:r w:rsidRPr="001B67D4">
        <w:rPr>
          <w:rFonts w:ascii="Times New Roman" w:eastAsia="Times New Roman" w:hAnsi="Times New Roman" w:cs="Times New Roman"/>
          <w:b/>
          <w:sz w:val="24"/>
          <w:szCs w:val="24"/>
        </w:rPr>
        <w:t>Tipo de estudio</w:t>
      </w:r>
    </w:p>
    <w:p w14:paraId="346D7E05" w14:textId="046EBB71" w:rsidR="009E0FFC" w:rsidRPr="00DF0B57" w:rsidRDefault="006B1808" w:rsidP="001B4B99">
      <w:pPr>
        <w:spacing w:line="24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 xml:space="preserve">La investigación es de tipo cuantitativo no experimental, descriptivo y exploratorio, este tipo de estudios han mostrado ser de gran utilidad debido a su capacidad de generar información con datos sistematizados actuales, que permiten apoyar las decisiones para planear o gestionar las actividades turísticas (Mendoza, </w:t>
      </w:r>
      <w:r w:rsidRPr="00DF0B57">
        <w:rPr>
          <w:rFonts w:ascii="Times New Roman" w:eastAsia="Times New Roman" w:hAnsi="Times New Roman" w:cs="Times New Roman"/>
          <w:sz w:val="24"/>
          <w:szCs w:val="24"/>
        </w:rPr>
        <w:lastRenderedPageBreak/>
        <w:t xml:space="preserve">Monterrubio y Fernández, 2011), es descriptivo y exploratorio, para recabar información se consultaron documentos emergentes y oficiales sobre el comportamiento de la pandemia en el ámbito nacional, estatal y local, la técnica utilizada fue la encuesta </w:t>
      </w:r>
      <w:r w:rsidRPr="00DF0B57">
        <w:rPr>
          <w:rFonts w:ascii="Times New Roman" w:eastAsia="Times New Roman" w:hAnsi="Times New Roman" w:cs="Times New Roman"/>
          <w:i/>
          <w:sz w:val="24"/>
          <w:szCs w:val="24"/>
        </w:rPr>
        <w:t>online</w:t>
      </w:r>
      <w:r w:rsidRPr="00DF0B57">
        <w:rPr>
          <w:rFonts w:ascii="Times New Roman" w:eastAsia="Times New Roman" w:hAnsi="Times New Roman" w:cs="Times New Roman"/>
          <w:sz w:val="24"/>
          <w:szCs w:val="24"/>
        </w:rPr>
        <w:t xml:space="preserve">  en tiempo real  dirigida a los residentes de Cozumel, el cuestionario se realizó a través de la plataforma </w:t>
      </w:r>
      <w:r w:rsidRPr="00DF0B57">
        <w:rPr>
          <w:rFonts w:ascii="Times New Roman" w:eastAsia="Times New Roman" w:hAnsi="Times New Roman" w:cs="Times New Roman"/>
          <w:i/>
          <w:sz w:val="24"/>
          <w:szCs w:val="24"/>
        </w:rPr>
        <w:t xml:space="preserve">Microsoft </w:t>
      </w:r>
      <w:proofErr w:type="spellStart"/>
      <w:r w:rsidRPr="00DF0B57">
        <w:rPr>
          <w:rFonts w:ascii="Times New Roman" w:eastAsia="Times New Roman" w:hAnsi="Times New Roman" w:cs="Times New Roman"/>
          <w:i/>
          <w:sz w:val="24"/>
          <w:szCs w:val="24"/>
        </w:rPr>
        <w:t>Forms</w:t>
      </w:r>
      <w:proofErr w:type="spellEnd"/>
      <w:r w:rsidRPr="00DF0B57">
        <w:rPr>
          <w:rFonts w:ascii="Times New Roman" w:eastAsia="Times New Roman" w:hAnsi="Times New Roman" w:cs="Times New Roman"/>
          <w:sz w:val="24"/>
          <w:szCs w:val="24"/>
        </w:rPr>
        <w:t xml:space="preserve">, del 27 de abril al 1 de julio de 2020 con una respuesta de 356 personas, el cuestionario fue integrado por 27 </w:t>
      </w:r>
      <w:proofErr w:type="spellStart"/>
      <w:r w:rsidRPr="00DF0B57">
        <w:rPr>
          <w:rFonts w:ascii="Times New Roman" w:eastAsia="Times New Roman" w:hAnsi="Times New Roman" w:cs="Times New Roman"/>
          <w:i/>
          <w:sz w:val="24"/>
          <w:szCs w:val="24"/>
        </w:rPr>
        <w:t>items</w:t>
      </w:r>
      <w:proofErr w:type="spellEnd"/>
      <w:r w:rsidRPr="00DF0B57">
        <w:rPr>
          <w:rFonts w:ascii="Times New Roman" w:eastAsia="Times New Roman" w:hAnsi="Times New Roman" w:cs="Times New Roman"/>
          <w:sz w:val="24"/>
          <w:szCs w:val="24"/>
        </w:rPr>
        <w:t>, dividido en cuatro ejes de la investigación 1) Perfil sociodemográfico del encuestado, 2) Situación laboral y económica, 3) Estrategias o apoyo para la contingencia y 4) Perspectivas de recuperación. Con los resultados</w:t>
      </w:r>
      <w:r w:rsidR="007F5B26">
        <w:rPr>
          <w:rFonts w:ascii="Times New Roman" w:eastAsia="Times New Roman" w:hAnsi="Times New Roman" w:cs="Times New Roman"/>
          <w:sz w:val="24"/>
          <w:szCs w:val="24"/>
        </w:rPr>
        <w:t xml:space="preserve"> obtenidos</w:t>
      </w:r>
      <w:r w:rsidRPr="00DF0B57">
        <w:rPr>
          <w:rFonts w:ascii="Times New Roman" w:eastAsia="Times New Roman" w:hAnsi="Times New Roman" w:cs="Times New Roman"/>
          <w:sz w:val="24"/>
          <w:szCs w:val="24"/>
        </w:rPr>
        <w:t xml:space="preserve"> se obtuvieron nuevos conocimientos en el campo de la realidad social y económica de la población económicamente activa en el sector turístico de Cozumel</w:t>
      </w:r>
      <w:r w:rsidR="007F5B26">
        <w:rPr>
          <w:rFonts w:ascii="Times New Roman" w:eastAsia="Times New Roman" w:hAnsi="Times New Roman" w:cs="Times New Roman"/>
          <w:sz w:val="24"/>
          <w:szCs w:val="24"/>
        </w:rPr>
        <w:t xml:space="preserve"> y sus efectos con relación al COVID-19</w:t>
      </w:r>
      <w:r w:rsidRPr="00DF0B57">
        <w:rPr>
          <w:rFonts w:ascii="Times New Roman" w:eastAsia="Times New Roman" w:hAnsi="Times New Roman" w:cs="Times New Roman"/>
          <w:sz w:val="24"/>
          <w:szCs w:val="24"/>
        </w:rPr>
        <w:t>.</w:t>
      </w:r>
    </w:p>
    <w:p w14:paraId="67885C82" w14:textId="77777777" w:rsidR="009E0FFC" w:rsidRPr="00DF0B57" w:rsidRDefault="009E0FFC" w:rsidP="001B4B99">
      <w:pPr>
        <w:spacing w:line="240" w:lineRule="auto"/>
        <w:jc w:val="both"/>
        <w:rPr>
          <w:rFonts w:ascii="Times New Roman" w:eastAsia="Times New Roman" w:hAnsi="Times New Roman" w:cs="Times New Roman"/>
          <w:b/>
          <w:sz w:val="24"/>
          <w:szCs w:val="24"/>
        </w:rPr>
      </w:pPr>
    </w:p>
    <w:p w14:paraId="7551C722" w14:textId="627A116B" w:rsidR="009E0FFC" w:rsidRPr="001B67D4" w:rsidRDefault="006B1808" w:rsidP="001B4B99">
      <w:pPr>
        <w:pStyle w:val="Prrafodelista"/>
        <w:numPr>
          <w:ilvl w:val="0"/>
          <w:numId w:val="3"/>
        </w:numPr>
        <w:jc w:val="both"/>
        <w:rPr>
          <w:rFonts w:ascii="Times New Roman" w:eastAsia="Times New Roman" w:hAnsi="Times New Roman" w:cs="Times New Roman"/>
          <w:b/>
          <w:sz w:val="24"/>
          <w:szCs w:val="24"/>
        </w:rPr>
      </w:pPr>
      <w:r w:rsidRPr="001B67D4">
        <w:rPr>
          <w:rFonts w:ascii="Times New Roman" w:eastAsia="Times New Roman" w:hAnsi="Times New Roman" w:cs="Times New Roman"/>
          <w:b/>
          <w:sz w:val="24"/>
          <w:szCs w:val="24"/>
        </w:rPr>
        <w:t>Hallazgos</w:t>
      </w:r>
    </w:p>
    <w:p w14:paraId="5D51505F" w14:textId="60BC7EB6" w:rsidR="009E0FFC" w:rsidRPr="00DF0B57" w:rsidRDefault="006B1808" w:rsidP="001B4B99">
      <w:pPr>
        <w:spacing w:line="24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 xml:space="preserve">En Cozumel, a partir de la segunda semana de marzo se empiezan a sentir los estragos de la pandemia, </w:t>
      </w:r>
      <w:r w:rsidR="007F5B26">
        <w:rPr>
          <w:rFonts w:ascii="Times New Roman" w:eastAsia="Times New Roman" w:hAnsi="Times New Roman" w:cs="Times New Roman"/>
          <w:sz w:val="24"/>
          <w:szCs w:val="24"/>
        </w:rPr>
        <w:t xml:space="preserve">tales </w:t>
      </w:r>
      <w:r w:rsidRPr="00DF0B57">
        <w:rPr>
          <w:rFonts w:ascii="Times New Roman" w:eastAsia="Times New Roman" w:hAnsi="Times New Roman" w:cs="Times New Roman"/>
          <w:sz w:val="24"/>
          <w:szCs w:val="24"/>
        </w:rPr>
        <w:t xml:space="preserve">como la suspensión de viajes en cruceros a los distintos destinos del mundo, incluyendo Cozumel considerado como uno de los más importantes destinos de cruceros </w:t>
      </w:r>
      <w:r w:rsidR="007F5B26">
        <w:rPr>
          <w:rFonts w:ascii="Times New Roman" w:eastAsia="Times New Roman" w:hAnsi="Times New Roman" w:cs="Times New Roman"/>
          <w:sz w:val="24"/>
          <w:szCs w:val="24"/>
        </w:rPr>
        <w:t xml:space="preserve">en el estado de Quintana Roo y específicamente </w:t>
      </w:r>
      <w:r w:rsidRPr="00DF0B57">
        <w:rPr>
          <w:rFonts w:ascii="Times New Roman" w:eastAsia="Times New Roman" w:hAnsi="Times New Roman" w:cs="Times New Roman"/>
          <w:sz w:val="24"/>
          <w:szCs w:val="24"/>
        </w:rPr>
        <w:t xml:space="preserve">de México. Una evidencia de lo que aconteció en la isla, son los datos estadísticos entre enero y septiembre del 2019, cuyos registros reportaron llegadas de 3.392.226 excursionistas y de 1.003 buques; para el mismo periodo de 2020 la cifra descendió a 1.132.101 pasajeros y 371 naves, representando una caída de 66,6% de cruceristas y un 63% de arribos (APIQROO, 2019 y 2020).  La pérdida por la cancelación de llegada de cruceros desde mediados de marzo a </w:t>
      </w:r>
      <w:r w:rsidR="007F5B26" w:rsidRPr="00DF0B57">
        <w:rPr>
          <w:rFonts w:ascii="Times New Roman" w:eastAsia="Times New Roman" w:hAnsi="Times New Roman" w:cs="Times New Roman"/>
          <w:sz w:val="24"/>
          <w:szCs w:val="24"/>
        </w:rPr>
        <w:t>mayo</w:t>
      </w:r>
      <w:r w:rsidRPr="00DF0B57">
        <w:rPr>
          <w:rFonts w:ascii="Times New Roman" w:eastAsia="Times New Roman" w:hAnsi="Times New Roman" w:cs="Times New Roman"/>
          <w:sz w:val="24"/>
          <w:szCs w:val="24"/>
        </w:rPr>
        <w:t xml:space="preserve"> equivaldrá a más de 500 millones de dólares durante esos meses de inactividad (Tarragona, 7 abril 2020), la isla registró bajas en el empleo aproximadamente de 12.000 puestos perdidos y una reactivación relativa que </w:t>
      </w:r>
      <w:r w:rsidR="007F5B26">
        <w:rPr>
          <w:rFonts w:ascii="Times New Roman" w:eastAsia="Times New Roman" w:hAnsi="Times New Roman" w:cs="Times New Roman"/>
          <w:sz w:val="24"/>
          <w:szCs w:val="24"/>
        </w:rPr>
        <w:t xml:space="preserve">se mencionaba </w:t>
      </w:r>
      <w:r w:rsidRPr="00DF0B57">
        <w:rPr>
          <w:rFonts w:ascii="Times New Roman" w:eastAsia="Times New Roman" w:hAnsi="Times New Roman" w:cs="Times New Roman"/>
          <w:sz w:val="24"/>
          <w:szCs w:val="24"/>
        </w:rPr>
        <w:t>no pod</w:t>
      </w:r>
      <w:r w:rsidR="007F5B26">
        <w:rPr>
          <w:rFonts w:ascii="Times New Roman" w:eastAsia="Times New Roman" w:hAnsi="Times New Roman" w:cs="Times New Roman"/>
          <w:sz w:val="24"/>
          <w:szCs w:val="24"/>
        </w:rPr>
        <w:t>ía</w:t>
      </w:r>
      <w:r w:rsidRPr="00DF0B57">
        <w:rPr>
          <w:rFonts w:ascii="Times New Roman" w:eastAsia="Times New Roman" w:hAnsi="Times New Roman" w:cs="Times New Roman"/>
          <w:sz w:val="24"/>
          <w:szCs w:val="24"/>
        </w:rPr>
        <w:t xml:space="preserve"> completarse hasta que regres</w:t>
      </w:r>
      <w:r w:rsidR="007F5B26">
        <w:rPr>
          <w:rFonts w:ascii="Times New Roman" w:eastAsia="Times New Roman" w:hAnsi="Times New Roman" w:cs="Times New Roman"/>
          <w:sz w:val="24"/>
          <w:szCs w:val="24"/>
        </w:rPr>
        <w:t>aran</w:t>
      </w:r>
      <w:r w:rsidRPr="00DF0B57">
        <w:rPr>
          <w:rFonts w:ascii="Times New Roman" w:eastAsia="Times New Roman" w:hAnsi="Times New Roman" w:cs="Times New Roman"/>
          <w:sz w:val="24"/>
          <w:szCs w:val="24"/>
        </w:rPr>
        <w:t xml:space="preserve"> los cruceros, </w:t>
      </w:r>
      <w:r w:rsidR="007F5B26">
        <w:rPr>
          <w:rFonts w:ascii="Times New Roman" w:eastAsia="Times New Roman" w:hAnsi="Times New Roman" w:cs="Times New Roman"/>
          <w:sz w:val="24"/>
          <w:szCs w:val="24"/>
        </w:rPr>
        <w:t xml:space="preserve">la cual constituye </w:t>
      </w:r>
      <w:r w:rsidRPr="00DF0B57">
        <w:rPr>
          <w:rFonts w:ascii="Times New Roman" w:eastAsia="Times New Roman" w:hAnsi="Times New Roman" w:cs="Times New Roman"/>
          <w:sz w:val="24"/>
          <w:szCs w:val="24"/>
        </w:rPr>
        <w:t>la principal actividad económica para generar ingresos (Mundo marítimo 9 nov., 2020).</w:t>
      </w:r>
    </w:p>
    <w:p w14:paraId="13853171" w14:textId="77777777" w:rsidR="009E0FFC" w:rsidRPr="00DF0B57" w:rsidRDefault="006B1808" w:rsidP="001B4B99">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DF0B57">
        <w:rPr>
          <w:rFonts w:ascii="Times New Roman" w:eastAsia="Times New Roman" w:hAnsi="Times New Roman" w:cs="Times New Roman"/>
          <w:sz w:val="24"/>
          <w:szCs w:val="24"/>
        </w:rPr>
        <w:t>El cierre de los negocios no esenciales a partir del 1 de abril, imposibilitaron el funcionamiento de las diversas empresas del sector turístico, entre ellos los hoteles que presentaron un desplome en la ocupación hasta un dígito, siendo abril y mayo los meses más críticos para Cozumel, Isla Mujeres y Chetumal (SEDETUR, 2020) (Tabla 1). En el caso del sector hotelero de Cozumel, son cerca de 150 millones de dólares el promedio de pérdida mensual por el cierre de estos (Maldonado, 2020). Se observa la afectación sobre todo en los municipios de la zona norte de Quintana Roo, como Cancún, Riviera Maya, Cozumel e Isla mujeres especialmente por la dependencia que se tiene del turismo.</w:t>
      </w:r>
    </w:p>
    <w:p w14:paraId="77C68939" w14:textId="77777777" w:rsidR="009E0FFC" w:rsidRPr="00DF0B57" w:rsidRDefault="009E0FFC" w:rsidP="001B4B99">
      <w:pPr>
        <w:spacing w:line="240" w:lineRule="auto"/>
        <w:jc w:val="both"/>
        <w:rPr>
          <w:rFonts w:ascii="Times New Roman" w:eastAsia="Times New Roman" w:hAnsi="Times New Roman" w:cs="Times New Roman"/>
          <w:sz w:val="24"/>
          <w:szCs w:val="24"/>
        </w:rPr>
      </w:pPr>
    </w:p>
    <w:p w14:paraId="168B535C" w14:textId="77777777" w:rsidR="009E0FFC" w:rsidRPr="00DF0B57" w:rsidRDefault="006B1808" w:rsidP="001B4B99">
      <w:pPr>
        <w:spacing w:line="240" w:lineRule="auto"/>
        <w:jc w:val="both"/>
        <w:rPr>
          <w:rFonts w:ascii="Times New Roman" w:eastAsia="Times New Roman" w:hAnsi="Times New Roman" w:cs="Times New Roman"/>
          <w:b/>
          <w:sz w:val="24"/>
          <w:szCs w:val="24"/>
        </w:rPr>
      </w:pPr>
      <w:r w:rsidRPr="00DF0B57">
        <w:rPr>
          <w:rFonts w:ascii="Times New Roman" w:eastAsia="Times New Roman" w:hAnsi="Times New Roman" w:cs="Times New Roman"/>
          <w:sz w:val="24"/>
          <w:szCs w:val="24"/>
        </w:rPr>
        <w:t xml:space="preserve">     </w:t>
      </w:r>
      <w:r w:rsidRPr="00DF0B57">
        <w:rPr>
          <w:rFonts w:ascii="Times New Roman" w:eastAsia="Times New Roman" w:hAnsi="Times New Roman" w:cs="Times New Roman"/>
          <w:b/>
          <w:sz w:val="24"/>
          <w:szCs w:val="24"/>
        </w:rPr>
        <w:t xml:space="preserve">Tabla 1 </w:t>
      </w:r>
    </w:p>
    <w:p w14:paraId="7A09A970" w14:textId="77777777" w:rsidR="009E0FFC" w:rsidRPr="00DF0B57" w:rsidRDefault="006B1808" w:rsidP="001B4B99">
      <w:pPr>
        <w:spacing w:after="0" w:line="24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 xml:space="preserve">       Porcentaje de Ocupación Hotelera Promedio en Quintana Roo Abril-</w:t>
      </w:r>
      <w:proofErr w:type="gramStart"/>
      <w:r w:rsidRPr="00DF0B57">
        <w:rPr>
          <w:rFonts w:ascii="Times New Roman" w:eastAsia="Times New Roman" w:hAnsi="Times New Roman" w:cs="Times New Roman"/>
          <w:sz w:val="24"/>
          <w:szCs w:val="24"/>
        </w:rPr>
        <w:t>Septiembre</w:t>
      </w:r>
      <w:proofErr w:type="gramEnd"/>
      <w:r w:rsidRPr="00DF0B57">
        <w:rPr>
          <w:rFonts w:ascii="Times New Roman" w:eastAsia="Times New Roman" w:hAnsi="Times New Roman" w:cs="Times New Roman"/>
          <w:sz w:val="24"/>
          <w:szCs w:val="24"/>
        </w:rPr>
        <w:t xml:space="preserve"> 2020</w:t>
      </w:r>
    </w:p>
    <w:tbl>
      <w:tblPr>
        <w:tblStyle w:val="6"/>
        <w:tblW w:w="8834" w:type="dxa"/>
        <w:tblInd w:w="0" w:type="dxa"/>
        <w:tblBorders>
          <w:bottom w:val="single" w:sz="4" w:space="0" w:color="000000"/>
        </w:tblBorders>
        <w:tblLayout w:type="fixed"/>
        <w:tblLook w:val="04A0" w:firstRow="1" w:lastRow="0" w:firstColumn="1" w:lastColumn="0" w:noHBand="0" w:noVBand="1"/>
      </w:tblPr>
      <w:tblGrid>
        <w:gridCol w:w="2180"/>
        <w:gridCol w:w="936"/>
        <w:gridCol w:w="1121"/>
        <w:gridCol w:w="1033"/>
        <w:gridCol w:w="899"/>
        <w:gridCol w:w="1355"/>
        <w:gridCol w:w="1310"/>
      </w:tblGrid>
      <w:tr w:rsidR="00DF0B57" w:rsidRPr="00DF0B57" w14:paraId="3D7703DA" w14:textId="77777777" w:rsidTr="009E0FF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0" w:type="dxa"/>
          </w:tcPr>
          <w:p w14:paraId="5FB636A8" w14:textId="77777777" w:rsidR="009E0FFC" w:rsidRPr="00DF0B57" w:rsidRDefault="006B1808" w:rsidP="001B4B99">
            <w:pPr>
              <w:jc w:val="both"/>
            </w:pPr>
            <w:r w:rsidRPr="00DF0B57">
              <w:t>MES</w:t>
            </w:r>
          </w:p>
        </w:tc>
        <w:tc>
          <w:tcPr>
            <w:tcW w:w="936" w:type="dxa"/>
          </w:tcPr>
          <w:p w14:paraId="6C5BA65E" w14:textId="77777777" w:rsidR="009E0FFC" w:rsidRPr="00DF0B57" w:rsidRDefault="006B1808" w:rsidP="001B4B99">
            <w:pPr>
              <w:jc w:val="both"/>
              <w:cnfStyle w:val="100000000000" w:firstRow="1" w:lastRow="0" w:firstColumn="0" w:lastColumn="0" w:oddVBand="0" w:evenVBand="0" w:oddHBand="0" w:evenHBand="0" w:firstRowFirstColumn="0" w:firstRowLastColumn="0" w:lastRowFirstColumn="0" w:lastRowLastColumn="0"/>
            </w:pPr>
            <w:r w:rsidRPr="00DF0B57">
              <w:t>Abril</w:t>
            </w:r>
          </w:p>
        </w:tc>
        <w:tc>
          <w:tcPr>
            <w:tcW w:w="1121" w:type="dxa"/>
          </w:tcPr>
          <w:p w14:paraId="130A4E1A" w14:textId="77777777" w:rsidR="009E0FFC" w:rsidRPr="00DF0B57" w:rsidRDefault="006B1808" w:rsidP="001B4B99">
            <w:pPr>
              <w:jc w:val="both"/>
              <w:cnfStyle w:val="100000000000" w:firstRow="1" w:lastRow="0" w:firstColumn="0" w:lastColumn="0" w:oddVBand="0" w:evenVBand="0" w:oddHBand="0" w:evenHBand="0" w:firstRowFirstColumn="0" w:firstRowLastColumn="0" w:lastRowFirstColumn="0" w:lastRowLastColumn="0"/>
            </w:pPr>
            <w:r w:rsidRPr="00DF0B57">
              <w:t>Mayo</w:t>
            </w:r>
          </w:p>
        </w:tc>
        <w:tc>
          <w:tcPr>
            <w:tcW w:w="1033" w:type="dxa"/>
          </w:tcPr>
          <w:p w14:paraId="0D62E8EE" w14:textId="77777777" w:rsidR="009E0FFC" w:rsidRPr="00DF0B57" w:rsidRDefault="006B1808" w:rsidP="001B4B99">
            <w:pPr>
              <w:jc w:val="both"/>
              <w:cnfStyle w:val="100000000000" w:firstRow="1" w:lastRow="0" w:firstColumn="0" w:lastColumn="0" w:oddVBand="0" w:evenVBand="0" w:oddHBand="0" w:evenHBand="0" w:firstRowFirstColumn="0" w:firstRowLastColumn="0" w:lastRowFirstColumn="0" w:lastRowLastColumn="0"/>
            </w:pPr>
            <w:r w:rsidRPr="00DF0B57">
              <w:t>Junio</w:t>
            </w:r>
          </w:p>
        </w:tc>
        <w:tc>
          <w:tcPr>
            <w:tcW w:w="899" w:type="dxa"/>
          </w:tcPr>
          <w:p w14:paraId="268EAFC1" w14:textId="77777777" w:rsidR="009E0FFC" w:rsidRPr="00DF0B57" w:rsidRDefault="006B1808" w:rsidP="001B4B99">
            <w:pPr>
              <w:jc w:val="both"/>
              <w:cnfStyle w:val="100000000000" w:firstRow="1" w:lastRow="0" w:firstColumn="0" w:lastColumn="0" w:oddVBand="0" w:evenVBand="0" w:oddHBand="0" w:evenHBand="0" w:firstRowFirstColumn="0" w:firstRowLastColumn="0" w:lastRowFirstColumn="0" w:lastRowLastColumn="0"/>
            </w:pPr>
            <w:r w:rsidRPr="00DF0B57">
              <w:t>Julio</w:t>
            </w:r>
          </w:p>
        </w:tc>
        <w:tc>
          <w:tcPr>
            <w:tcW w:w="1355" w:type="dxa"/>
          </w:tcPr>
          <w:p w14:paraId="4AF948EB" w14:textId="77777777" w:rsidR="009E0FFC" w:rsidRPr="00DF0B57" w:rsidRDefault="006B1808" w:rsidP="001B4B99">
            <w:pPr>
              <w:jc w:val="both"/>
              <w:cnfStyle w:val="100000000000" w:firstRow="1" w:lastRow="0" w:firstColumn="0" w:lastColumn="0" w:oddVBand="0" w:evenVBand="0" w:oddHBand="0" w:evenHBand="0" w:firstRowFirstColumn="0" w:firstRowLastColumn="0" w:lastRowFirstColumn="0" w:lastRowLastColumn="0"/>
            </w:pPr>
            <w:r w:rsidRPr="00DF0B57">
              <w:t>Agosto</w:t>
            </w:r>
          </w:p>
        </w:tc>
        <w:tc>
          <w:tcPr>
            <w:tcW w:w="1310" w:type="dxa"/>
          </w:tcPr>
          <w:p w14:paraId="586F35FD" w14:textId="77777777" w:rsidR="009E0FFC" w:rsidRPr="00DF0B57" w:rsidRDefault="006B1808" w:rsidP="001B4B99">
            <w:pPr>
              <w:jc w:val="both"/>
              <w:cnfStyle w:val="100000000000" w:firstRow="1" w:lastRow="0" w:firstColumn="0" w:lastColumn="0" w:oddVBand="0" w:evenVBand="0" w:oddHBand="0" w:evenHBand="0" w:firstRowFirstColumn="0" w:firstRowLastColumn="0" w:lastRowFirstColumn="0" w:lastRowLastColumn="0"/>
            </w:pPr>
            <w:r w:rsidRPr="00DF0B57">
              <w:t>Septiembre</w:t>
            </w:r>
          </w:p>
        </w:tc>
      </w:tr>
      <w:tr w:rsidR="00DF0B57" w:rsidRPr="00DF0B57" w14:paraId="444BFB9A" w14:textId="77777777" w:rsidTr="009E0FFC">
        <w:trPr>
          <w:trHeight w:val="288"/>
        </w:trPr>
        <w:tc>
          <w:tcPr>
            <w:cnfStyle w:val="001000000000" w:firstRow="0" w:lastRow="0" w:firstColumn="1" w:lastColumn="0" w:oddVBand="0" w:evenVBand="0" w:oddHBand="0" w:evenHBand="0" w:firstRowFirstColumn="0" w:firstRowLastColumn="0" w:lastRowFirstColumn="0" w:lastRowLastColumn="0"/>
            <w:tcW w:w="2180" w:type="dxa"/>
          </w:tcPr>
          <w:p w14:paraId="19DB8CFA" w14:textId="77777777" w:rsidR="009E0FFC" w:rsidRPr="00DF0B57" w:rsidRDefault="006B1808" w:rsidP="001B4B99">
            <w:pPr>
              <w:jc w:val="both"/>
            </w:pPr>
            <w:r w:rsidRPr="00DF0B57">
              <w:t xml:space="preserve">Cancún y Puerto Morelos </w:t>
            </w:r>
          </w:p>
        </w:tc>
        <w:tc>
          <w:tcPr>
            <w:tcW w:w="936" w:type="dxa"/>
          </w:tcPr>
          <w:p w14:paraId="16BC10F0"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5.7</w:t>
            </w:r>
          </w:p>
        </w:tc>
        <w:tc>
          <w:tcPr>
            <w:tcW w:w="1121" w:type="dxa"/>
          </w:tcPr>
          <w:p w14:paraId="47E290EB"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5.7</w:t>
            </w:r>
          </w:p>
        </w:tc>
        <w:tc>
          <w:tcPr>
            <w:tcW w:w="1033" w:type="dxa"/>
          </w:tcPr>
          <w:p w14:paraId="59DE5705"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15.2</w:t>
            </w:r>
          </w:p>
        </w:tc>
        <w:tc>
          <w:tcPr>
            <w:tcW w:w="899" w:type="dxa"/>
          </w:tcPr>
          <w:p w14:paraId="41BD37E1"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23.7</w:t>
            </w:r>
          </w:p>
        </w:tc>
        <w:tc>
          <w:tcPr>
            <w:tcW w:w="1355" w:type="dxa"/>
          </w:tcPr>
          <w:p w14:paraId="13157D25"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25.9</w:t>
            </w:r>
          </w:p>
        </w:tc>
        <w:tc>
          <w:tcPr>
            <w:tcW w:w="1310" w:type="dxa"/>
          </w:tcPr>
          <w:p w14:paraId="3A6EB614"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32.4</w:t>
            </w:r>
          </w:p>
        </w:tc>
      </w:tr>
      <w:tr w:rsidR="00DF0B57" w:rsidRPr="00DF0B57" w14:paraId="3A05A40E" w14:textId="77777777" w:rsidTr="009E0FFC">
        <w:trPr>
          <w:trHeight w:val="288"/>
        </w:trPr>
        <w:tc>
          <w:tcPr>
            <w:cnfStyle w:val="001000000000" w:firstRow="0" w:lastRow="0" w:firstColumn="1" w:lastColumn="0" w:oddVBand="0" w:evenVBand="0" w:oddHBand="0" w:evenHBand="0" w:firstRowFirstColumn="0" w:firstRowLastColumn="0" w:lastRowFirstColumn="0" w:lastRowLastColumn="0"/>
            <w:tcW w:w="2180" w:type="dxa"/>
          </w:tcPr>
          <w:p w14:paraId="320010B9" w14:textId="77777777" w:rsidR="009E0FFC" w:rsidRPr="00DF0B57" w:rsidRDefault="006B1808" w:rsidP="001B4B99">
            <w:pPr>
              <w:jc w:val="both"/>
            </w:pPr>
            <w:r w:rsidRPr="00DF0B57">
              <w:t>Cozumel</w:t>
            </w:r>
          </w:p>
        </w:tc>
        <w:tc>
          <w:tcPr>
            <w:tcW w:w="936" w:type="dxa"/>
          </w:tcPr>
          <w:p w14:paraId="478E5183"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0</w:t>
            </w:r>
          </w:p>
        </w:tc>
        <w:tc>
          <w:tcPr>
            <w:tcW w:w="1121" w:type="dxa"/>
          </w:tcPr>
          <w:p w14:paraId="39D9F34B"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0</w:t>
            </w:r>
          </w:p>
        </w:tc>
        <w:tc>
          <w:tcPr>
            <w:tcW w:w="1033" w:type="dxa"/>
          </w:tcPr>
          <w:p w14:paraId="795762E1"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11.2</w:t>
            </w:r>
          </w:p>
        </w:tc>
        <w:tc>
          <w:tcPr>
            <w:tcW w:w="899" w:type="dxa"/>
          </w:tcPr>
          <w:p w14:paraId="28793B64"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23.1</w:t>
            </w:r>
          </w:p>
        </w:tc>
        <w:tc>
          <w:tcPr>
            <w:tcW w:w="1355" w:type="dxa"/>
          </w:tcPr>
          <w:p w14:paraId="4DE8234D"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23.6</w:t>
            </w:r>
          </w:p>
        </w:tc>
        <w:tc>
          <w:tcPr>
            <w:tcW w:w="1310" w:type="dxa"/>
          </w:tcPr>
          <w:p w14:paraId="5D9F0EBF"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31.2</w:t>
            </w:r>
          </w:p>
        </w:tc>
      </w:tr>
      <w:tr w:rsidR="00DF0B57" w:rsidRPr="00DF0B57" w14:paraId="626E53B2" w14:textId="77777777" w:rsidTr="009E0FFC">
        <w:trPr>
          <w:trHeight w:val="288"/>
        </w:trPr>
        <w:tc>
          <w:tcPr>
            <w:cnfStyle w:val="001000000000" w:firstRow="0" w:lastRow="0" w:firstColumn="1" w:lastColumn="0" w:oddVBand="0" w:evenVBand="0" w:oddHBand="0" w:evenHBand="0" w:firstRowFirstColumn="0" w:firstRowLastColumn="0" w:lastRowFirstColumn="0" w:lastRowLastColumn="0"/>
            <w:tcW w:w="2180" w:type="dxa"/>
          </w:tcPr>
          <w:p w14:paraId="057391CB" w14:textId="77777777" w:rsidR="009E0FFC" w:rsidRPr="00DF0B57" w:rsidRDefault="006B1808" w:rsidP="001B4B99">
            <w:pPr>
              <w:jc w:val="both"/>
            </w:pPr>
            <w:r w:rsidRPr="00DF0B57">
              <w:t>Isla Mujeres</w:t>
            </w:r>
          </w:p>
        </w:tc>
        <w:tc>
          <w:tcPr>
            <w:tcW w:w="936" w:type="dxa"/>
          </w:tcPr>
          <w:p w14:paraId="3DACD105"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0</w:t>
            </w:r>
          </w:p>
        </w:tc>
        <w:tc>
          <w:tcPr>
            <w:tcW w:w="1121" w:type="dxa"/>
          </w:tcPr>
          <w:p w14:paraId="29DB701B"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0</w:t>
            </w:r>
          </w:p>
        </w:tc>
        <w:tc>
          <w:tcPr>
            <w:tcW w:w="1033" w:type="dxa"/>
          </w:tcPr>
          <w:p w14:paraId="626873A1"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0</w:t>
            </w:r>
          </w:p>
        </w:tc>
        <w:tc>
          <w:tcPr>
            <w:tcW w:w="899" w:type="dxa"/>
          </w:tcPr>
          <w:p w14:paraId="5C28CDB0"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52.6</w:t>
            </w:r>
          </w:p>
        </w:tc>
        <w:tc>
          <w:tcPr>
            <w:tcW w:w="1355" w:type="dxa"/>
          </w:tcPr>
          <w:p w14:paraId="2467CFDA"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80.1</w:t>
            </w:r>
          </w:p>
        </w:tc>
        <w:tc>
          <w:tcPr>
            <w:tcW w:w="1310" w:type="dxa"/>
          </w:tcPr>
          <w:p w14:paraId="3D9D9BC9"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60.2</w:t>
            </w:r>
          </w:p>
        </w:tc>
      </w:tr>
      <w:tr w:rsidR="00DF0B57" w:rsidRPr="00DF0B57" w14:paraId="6DA401FB" w14:textId="77777777" w:rsidTr="009E0FFC">
        <w:trPr>
          <w:trHeight w:val="288"/>
        </w:trPr>
        <w:tc>
          <w:tcPr>
            <w:cnfStyle w:val="001000000000" w:firstRow="0" w:lastRow="0" w:firstColumn="1" w:lastColumn="0" w:oddVBand="0" w:evenVBand="0" w:oddHBand="0" w:evenHBand="0" w:firstRowFirstColumn="0" w:firstRowLastColumn="0" w:lastRowFirstColumn="0" w:lastRowLastColumn="0"/>
            <w:tcW w:w="2180" w:type="dxa"/>
          </w:tcPr>
          <w:p w14:paraId="3D8DC029" w14:textId="77777777" w:rsidR="009E0FFC" w:rsidRPr="00DF0B57" w:rsidRDefault="006B1808" w:rsidP="001B4B99">
            <w:pPr>
              <w:jc w:val="both"/>
            </w:pPr>
            <w:r w:rsidRPr="00DF0B57">
              <w:t xml:space="preserve">Chetumal </w:t>
            </w:r>
          </w:p>
        </w:tc>
        <w:tc>
          <w:tcPr>
            <w:tcW w:w="936" w:type="dxa"/>
          </w:tcPr>
          <w:p w14:paraId="0211BF56"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0</w:t>
            </w:r>
          </w:p>
        </w:tc>
        <w:tc>
          <w:tcPr>
            <w:tcW w:w="1121" w:type="dxa"/>
          </w:tcPr>
          <w:p w14:paraId="7DE602EE"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0</w:t>
            </w:r>
          </w:p>
        </w:tc>
        <w:tc>
          <w:tcPr>
            <w:tcW w:w="1033" w:type="dxa"/>
          </w:tcPr>
          <w:p w14:paraId="7C0B699C"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0</w:t>
            </w:r>
          </w:p>
        </w:tc>
        <w:tc>
          <w:tcPr>
            <w:tcW w:w="899" w:type="dxa"/>
          </w:tcPr>
          <w:p w14:paraId="5CDF6DE5"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9.6</w:t>
            </w:r>
          </w:p>
        </w:tc>
        <w:tc>
          <w:tcPr>
            <w:tcW w:w="1355" w:type="dxa"/>
          </w:tcPr>
          <w:p w14:paraId="0287DD83"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11.6</w:t>
            </w:r>
          </w:p>
        </w:tc>
        <w:tc>
          <w:tcPr>
            <w:tcW w:w="1310" w:type="dxa"/>
          </w:tcPr>
          <w:p w14:paraId="31498C9C"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18.2</w:t>
            </w:r>
          </w:p>
        </w:tc>
      </w:tr>
      <w:tr w:rsidR="00DF0B57" w:rsidRPr="00DF0B57" w14:paraId="71399FC0" w14:textId="77777777" w:rsidTr="009E0FFC">
        <w:trPr>
          <w:trHeight w:val="288"/>
        </w:trPr>
        <w:tc>
          <w:tcPr>
            <w:cnfStyle w:val="001000000000" w:firstRow="0" w:lastRow="0" w:firstColumn="1" w:lastColumn="0" w:oddVBand="0" w:evenVBand="0" w:oddHBand="0" w:evenHBand="0" w:firstRowFirstColumn="0" w:firstRowLastColumn="0" w:lastRowFirstColumn="0" w:lastRowLastColumn="0"/>
            <w:tcW w:w="2180" w:type="dxa"/>
          </w:tcPr>
          <w:p w14:paraId="47ECEBB3" w14:textId="77777777" w:rsidR="009E0FFC" w:rsidRPr="00DF0B57" w:rsidRDefault="006B1808" w:rsidP="001B4B99">
            <w:pPr>
              <w:jc w:val="both"/>
            </w:pPr>
            <w:r w:rsidRPr="00DF0B57">
              <w:t>Riviera Maya</w:t>
            </w:r>
          </w:p>
        </w:tc>
        <w:tc>
          <w:tcPr>
            <w:tcW w:w="936" w:type="dxa"/>
          </w:tcPr>
          <w:p w14:paraId="671B130F"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3.6</w:t>
            </w:r>
          </w:p>
        </w:tc>
        <w:tc>
          <w:tcPr>
            <w:tcW w:w="1121" w:type="dxa"/>
          </w:tcPr>
          <w:p w14:paraId="14B708E8"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2.5</w:t>
            </w:r>
          </w:p>
        </w:tc>
        <w:tc>
          <w:tcPr>
            <w:tcW w:w="1033" w:type="dxa"/>
          </w:tcPr>
          <w:p w14:paraId="4CDD79AF"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11</w:t>
            </w:r>
          </w:p>
        </w:tc>
        <w:tc>
          <w:tcPr>
            <w:tcW w:w="899" w:type="dxa"/>
          </w:tcPr>
          <w:p w14:paraId="6791FA66"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19.9</w:t>
            </w:r>
          </w:p>
        </w:tc>
        <w:tc>
          <w:tcPr>
            <w:tcW w:w="1355" w:type="dxa"/>
          </w:tcPr>
          <w:p w14:paraId="6640145D"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21.8</w:t>
            </w:r>
          </w:p>
        </w:tc>
        <w:tc>
          <w:tcPr>
            <w:tcW w:w="1310" w:type="dxa"/>
          </w:tcPr>
          <w:p w14:paraId="435A108C"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27</w:t>
            </w:r>
          </w:p>
        </w:tc>
      </w:tr>
    </w:tbl>
    <w:p w14:paraId="4AB2813C" w14:textId="491C5B8E" w:rsidR="009E0FFC" w:rsidRPr="00DF0B57" w:rsidRDefault="009E0FFC" w:rsidP="009417B0">
      <w:pPr>
        <w:spacing w:line="240" w:lineRule="auto"/>
        <w:jc w:val="center"/>
        <w:rPr>
          <w:rFonts w:ascii="Times New Roman" w:eastAsia="Times New Roman" w:hAnsi="Times New Roman" w:cs="Times New Roman"/>
          <w:sz w:val="24"/>
          <w:szCs w:val="24"/>
        </w:rPr>
      </w:pPr>
    </w:p>
    <w:p w14:paraId="3D14B7A2" w14:textId="77777777" w:rsidR="009E0FFC" w:rsidRPr="00DF0B57" w:rsidRDefault="006B1808" w:rsidP="009417B0">
      <w:pPr>
        <w:spacing w:line="240" w:lineRule="auto"/>
        <w:jc w:val="center"/>
        <w:rPr>
          <w:rFonts w:ascii="Times New Roman" w:eastAsia="Times New Roman" w:hAnsi="Times New Roman" w:cs="Times New Roman"/>
          <w:sz w:val="24"/>
          <w:szCs w:val="24"/>
        </w:rPr>
      </w:pPr>
      <w:r w:rsidRPr="009417B0">
        <w:rPr>
          <w:rFonts w:ascii="Times New Roman" w:eastAsia="Times New Roman" w:hAnsi="Times New Roman" w:cs="Times New Roman"/>
          <w:b/>
          <w:bCs/>
          <w:sz w:val="24"/>
          <w:szCs w:val="24"/>
        </w:rPr>
        <w:t>Fuente:</w:t>
      </w:r>
      <w:r w:rsidRPr="00DF0B57">
        <w:rPr>
          <w:rFonts w:ascii="Times New Roman" w:eastAsia="Times New Roman" w:hAnsi="Times New Roman" w:cs="Times New Roman"/>
          <w:sz w:val="24"/>
          <w:szCs w:val="24"/>
        </w:rPr>
        <w:t xml:space="preserve"> SEDETUR, 2020</w:t>
      </w:r>
    </w:p>
    <w:p w14:paraId="5ED59DB6" w14:textId="42C66C1D" w:rsidR="009E0FFC" w:rsidRPr="00DF0B57" w:rsidRDefault="006B1808" w:rsidP="001B4B99">
      <w:pPr>
        <w:spacing w:line="24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lastRenderedPageBreak/>
        <w:t>En cuanto al Grupo Aeroportuario del Sureste (ASUR) se precisa que el Aeropuerto Internacional de Cozumel logró movilizar únicamente 482 pasajeros, lo que se traduce a una caída de 99.1% contra abril del 2019 (Castro, 2020). A partir del 16 de marzo, comenzaron a cerrar negocios, tour-operadoras, clubes de play</w:t>
      </w:r>
      <w:r w:rsidR="00D7147F">
        <w:rPr>
          <w:rFonts w:ascii="Times New Roman" w:eastAsia="Times New Roman" w:hAnsi="Times New Roman" w:cs="Times New Roman"/>
          <w:sz w:val="24"/>
          <w:szCs w:val="24"/>
        </w:rPr>
        <w:t>a, joyerías, tiendas de artesanías</w:t>
      </w:r>
      <w:r w:rsidRPr="00DF0B57">
        <w:rPr>
          <w:rFonts w:ascii="Times New Roman" w:eastAsia="Times New Roman" w:hAnsi="Times New Roman" w:cs="Times New Roman"/>
          <w:sz w:val="24"/>
          <w:szCs w:val="24"/>
        </w:rPr>
        <w:t xml:space="preserve"> y restaurantes, entre otros (</w:t>
      </w:r>
      <w:proofErr w:type="spellStart"/>
      <w:r w:rsidRPr="00DF0B57">
        <w:rPr>
          <w:rFonts w:ascii="Times New Roman" w:eastAsia="Times New Roman" w:hAnsi="Times New Roman" w:cs="Times New Roman"/>
          <w:sz w:val="24"/>
          <w:szCs w:val="24"/>
        </w:rPr>
        <w:t>Batun</w:t>
      </w:r>
      <w:proofErr w:type="spellEnd"/>
      <w:r w:rsidRPr="00DF0B57">
        <w:rPr>
          <w:rFonts w:ascii="Times New Roman" w:eastAsia="Times New Roman" w:hAnsi="Times New Roman" w:cs="Times New Roman"/>
          <w:sz w:val="24"/>
          <w:szCs w:val="24"/>
        </w:rPr>
        <w:t>, 2020). Posteriormente, la industria restaurantera, reabrió sus establecimientos para ofrecer servicio a domicilio, según lo indicó la representante de la Cámara Nacional de la Industria Restaurantera y Alimentos Condimentados en Cozumel (CANIRAC) y las ganancias se redujeron hasta en un 20 y/o 30 por ciento. En Cozumel, se declaró que el 80% de casi 70 empresas afiliadas a la Confederación</w:t>
      </w:r>
      <w:r w:rsidR="008F05A0">
        <w:rPr>
          <w:rFonts w:ascii="Times New Roman" w:eastAsia="Times New Roman" w:hAnsi="Times New Roman" w:cs="Times New Roman"/>
          <w:sz w:val="24"/>
          <w:szCs w:val="24"/>
        </w:rPr>
        <w:t xml:space="preserve"> </w:t>
      </w:r>
      <w:r w:rsidRPr="00DF0B57">
        <w:rPr>
          <w:rFonts w:ascii="Times New Roman" w:eastAsia="Times New Roman" w:hAnsi="Times New Roman" w:cs="Times New Roman"/>
          <w:sz w:val="24"/>
          <w:szCs w:val="24"/>
        </w:rPr>
        <w:t>Patronal de la República Mexicana, resultaron afectadas por la contingencia sanitaria de COVID-19 y existía la posibilidad de un cierre de forma definitiva (</w:t>
      </w:r>
      <w:proofErr w:type="spellStart"/>
      <w:r w:rsidRPr="00DF0B57">
        <w:rPr>
          <w:rFonts w:ascii="Times New Roman" w:eastAsia="Times New Roman" w:hAnsi="Times New Roman" w:cs="Times New Roman"/>
          <w:sz w:val="24"/>
          <w:szCs w:val="24"/>
        </w:rPr>
        <w:t>PalcoNoticias</w:t>
      </w:r>
      <w:proofErr w:type="spellEnd"/>
      <w:r w:rsidRPr="00DF0B57">
        <w:rPr>
          <w:rFonts w:ascii="Times New Roman" w:eastAsia="Times New Roman" w:hAnsi="Times New Roman" w:cs="Times New Roman"/>
          <w:sz w:val="24"/>
          <w:szCs w:val="24"/>
        </w:rPr>
        <w:t>, 28 y 29 de abril 2020).</w:t>
      </w:r>
    </w:p>
    <w:p w14:paraId="4410437B" w14:textId="77777777" w:rsidR="009E0FFC" w:rsidRPr="00DF0B57" w:rsidRDefault="009E0FFC" w:rsidP="001B4B99">
      <w:pPr>
        <w:spacing w:line="240" w:lineRule="auto"/>
        <w:jc w:val="both"/>
        <w:rPr>
          <w:rFonts w:ascii="Times New Roman" w:eastAsia="Times New Roman" w:hAnsi="Times New Roman" w:cs="Times New Roman"/>
          <w:sz w:val="24"/>
          <w:szCs w:val="24"/>
        </w:rPr>
      </w:pPr>
    </w:p>
    <w:p w14:paraId="3EF9A2E5" w14:textId="74B82391" w:rsidR="009E0FFC" w:rsidRPr="00DF0B57" w:rsidRDefault="006B1808" w:rsidP="001B4B99">
      <w:pPr>
        <w:spacing w:line="24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 xml:space="preserve">En este mismo orden de ideas, la Secretaría del Trabajo y Previsión Social (STPS) presentó un informe sobre la pérdida del empleo formal en México ante la emergencia sanitaria por COVID-19, en donde detalla que los sectores que registraron la mayor cantidad de despidos fueron el comercio, servicios y turismo (Redacción, 2020). Después de la Ciudad de México, </w:t>
      </w:r>
      <w:r w:rsidR="008F05A0">
        <w:rPr>
          <w:rFonts w:ascii="Times New Roman" w:eastAsia="Times New Roman" w:hAnsi="Times New Roman" w:cs="Times New Roman"/>
          <w:sz w:val="24"/>
          <w:szCs w:val="24"/>
        </w:rPr>
        <w:t xml:space="preserve">el estado de </w:t>
      </w:r>
      <w:r w:rsidRPr="00DF0B57">
        <w:rPr>
          <w:rFonts w:ascii="Times New Roman" w:eastAsia="Times New Roman" w:hAnsi="Times New Roman" w:cs="Times New Roman"/>
          <w:sz w:val="24"/>
          <w:szCs w:val="24"/>
        </w:rPr>
        <w:t>Quintana Roo, es la segunda entidad federativa con mayor pérdida de empleos formales en los primeros ocho meses del año, con 115, 989 empleos perdidos, es decir un 24.56 % de la planta laboral total que integra a los 11 municipios, con una mayor afectación en la zona norte tales como Puerto Morelos, Isla Mujeres, Solidaridad, Cozumel, Cancún y Tulum, (IMSS, 2020). (Ver tabla 2).  En la tabla 2 no se contempla las modalidades de trabajo informal, o de contratación ilegal por parte de empresas que no otorgan prestaciones conforme en los dispuesto en la ley federal del trabajo, ciertamente ésta desigualdad en la fuerza laboral ha sido difícil de medir, pero se sabe que existe y es una de las causas que impide a México hablar de empleos sostenibles, con la pandemia quedó al descubierto esta vulnerabilidad del país frente a otras economías más innovadoras.</w:t>
      </w:r>
    </w:p>
    <w:p w14:paraId="09EB0389" w14:textId="77777777" w:rsidR="009E0FFC" w:rsidRPr="00DF0B57" w:rsidRDefault="006B1808" w:rsidP="001B4B99">
      <w:pPr>
        <w:spacing w:line="240" w:lineRule="auto"/>
        <w:ind w:firstLine="708"/>
        <w:jc w:val="both"/>
        <w:rPr>
          <w:rFonts w:ascii="Times New Roman" w:eastAsia="Times New Roman" w:hAnsi="Times New Roman" w:cs="Times New Roman"/>
          <w:b/>
          <w:sz w:val="24"/>
          <w:szCs w:val="24"/>
        </w:rPr>
      </w:pPr>
      <w:r w:rsidRPr="00DF0B57">
        <w:rPr>
          <w:rFonts w:ascii="Times New Roman" w:eastAsia="Times New Roman" w:hAnsi="Times New Roman" w:cs="Times New Roman"/>
          <w:b/>
          <w:sz w:val="24"/>
          <w:szCs w:val="24"/>
        </w:rPr>
        <w:t>Tabla 2</w:t>
      </w:r>
      <w:r w:rsidRPr="00DF0B57">
        <w:rPr>
          <w:rFonts w:ascii="Times New Roman" w:eastAsia="Times New Roman" w:hAnsi="Times New Roman" w:cs="Times New Roman"/>
          <w:b/>
          <w:sz w:val="24"/>
          <w:szCs w:val="24"/>
        </w:rPr>
        <w:tab/>
      </w:r>
      <w:r w:rsidRPr="00DF0B57">
        <w:rPr>
          <w:rFonts w:ascii="Times New Roman" w:eastAsia="Times New Roman" w:hAnsi="Times New Roman" w:cs="Times New Roman"/>
          <w:b/>
          <w:sz w:val="24"/>
          <w:szCs w:val="24"/>
        </w:rPr>
        <w:tab/>
      </w:r>
    </w:p>
    <w:p w14:paraId="17F3582B" w14:textId="77777777" w:rsidR="009E0FFC" w:rsidRPr="00DF0B57" w:rsidRDefault="006B1808" w:rsidP="001B4B99">
      <w:pPr>
        <w:spacing w:line="240" w:lineRule="auto"/>
        <w:ind w:firstLine="708"/>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Municipios de Quintana Roo: Pérdida de Empleos Formales Enero-</w:t>
      </w:r>
      <w:proofErr w:type="gramStart"/>
      <w:r w:rsidRPr="00DF0B57">
        <w:rPr>
          <w:rFonts w:ascii="Times New Roman" w:eastAsia="Times New Roman" w:hAnsi="Times New Roman" w:cs="Times New Roman"/>
          <w:sz w:val="24"/>
          <w:szCs w:val="24"/>
        </w:rPr>
        <w:t>Agosto</w:t>
      </w:r>
      <w:proofErr w:type="gramEnd"/>
      <w:r w:rsidRPr="00DF0B57">
        <w:rPr>
          <w:rFonts w:ascii="Times New Roman" w:eastAsia="Times New Roman" w:hAnsi="Times New Roman" w:cs="Times New Roman"/>
          <w:sz w:val="24"/>
          <w:szCs w:val="24"/>
        </w:rPr>
        <w:t xml:space="preserve"> 2020</w:t>
      </w:r>
    </w:p>
    <w:tbl>
      <w:tblPr>
        <w:tblStyle w:val="5"/>
        <w:tblW w:w="5000" w:type="pct"/>
        <w:tblInd w:w="0" w:type="dxa"/>
        <w:tblBorders>
          <w:bottom w:val="single" w:sz="4" w:space="0" w:color="000000"/>
        </w:tblBorders>
        <w:tblLook w:val="04A0" w:firstRow="1" w:lastRow="0" w:firstColumn="1" w:lastColumn="0" w:noHBand="0" w:noVBand="1"/>
      </w:tblPr>
      <w:tblGrid>
        <w:gridCol w:w="939"/>
        <w:gridCol w:w="923"/>
        <w:gridCol w:w="923"/>
        <w:gridCol w:w="923"/>
        <w:gridCol w:w="923"/>
        <w:gridCol w:w="923"/>
        <w:gridCol w:w="923"/>
        <w:gridCol w:w="923"/>
        <w:gridCol w:w="923"/>
        <w:gridCol w:w="769"/>
        <w:gridCol w:w="880"/>
      </w:tblGrid>
      <w:tr w:rsidR="00DF0B57" w:rsidRPr="00DF0B57" w14:paraId="3A817C20" w14:textId="77777777" w:rsidTr="00DF0B5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03" w:type="pct"/>
          </w:tcPr>
          <w:p w14:paraId="6D8A2257" w14:textId="77777777" w:rsidR="009E0FFC" w:rsidRPr="00DF0B57" w:rsidRDefault="006B1808" w:rsidP="001B4B99">
            <w:pPr>
              <w:jc w:val="both"/>
              <w:rPr>
                <w:sz w:val="20"/>
                <w:szCs w:val="20"/>
              </w:rPr>
            </w:pPr>
            <w:r w:rsidRPr="00DF0B57">
              <w:rPr>
                <w:sz w:val="20"/>
                <w:szCs w:val="20"/>
              </w:rPr>
              <w:t>Municipio</w:t>
            </w:r>
          </w:p>
        </w:tc>
        <w:tc>
          <w:tcPr>
            <w:tcW w:w="330" w:type="pct"/>
          </w:tcPr>
          <w:p w14:paraId="675450B3" w14:textId="77777777" w:rsidR="009E0FFC" w:rsidRPr="00DF0B57" w:rsidRDefault="006B1808" w:rsidP="001B4B99">
            <w:pPr>
              <w:jc w:val="both"/>
              <w:cnfStyle w:val="100000000000" w:firstRow="1" w:lastRow="0" w:firstColumn="0" w:lastColumn="0" w:oddVBand="0" w:evenVBand="0" w:oddHBand="0" w:evenHBand="0" w:firstRowFirstColumn="0" w:firstRowLastColumn="0" w:lastRowFirstColumn="0" w:lastRowLastColumn="0"/>
              <w:rPr>
                <w:sz w:val="20"/>
                <w:szCs w:val="20"/>
              </w:rPr>
            </w:pPr>
            <w:r w:rsidRPr="00DF0B57">
              <w:rPr>
                <w:sz w:val="20"/>
                <w:szCs w:val="20"/>
              </w:rPr>
              <w:t>Enero</w:t>
            </w:r>
          </w:p>
        </w:tc>
        <w:tc>
          <w:tcPr>
            <w:tcW w:w="463" w:type="pct"/>
          </w:tcPr>
          <w:p w14:paraId="28A8CEDA" w14:textId="77777777" w:rsidR="009E0FFC" w:rsidRPr="00DF0B57" w:rsidRDefault="006B1808" w:rsidP="001B4B99">
            <w:pPr>
              <w:jc w:val="both"/>
              <w:cnfStyle w:val="100000000000" w:firstRow="1" w:lastRow="0" w:firstColumn="0" w:lastColumn="0" w:oddVBand="0" w:evenVBand="0" w:oddHBand="0" w:evenHBand="0" w:firstRowFirstColumn="0" w:firstRowLastColumn="0" w:lastRowFirstColumn="0" w:lastRowLastColumn="0"/>
              <w:rPr>
                <w:sz w:val="20"/>
                <w:szCs w:val="20"/>
              </w:rPr>
            </w:pPr>
            <w:r w:rsidRPr="00DF0B57">
              <w:rPr>
                <w:sz w:val="20"/>
                <w:szCs w:val="20"/>
              </w:rPr>
              <w:t>Febrero</w:t>
            </w:r>
          </w:p>
        </w:tc>
        <w:tc>
          <w:tcPr>
            <w:tcW w:w="463" w:type="pct"/>
          </w:tcPr>
          <w:p w14:paraId="6F144348" w14:textId="77777777" w:rsidR="009E0FFC" w:rsidRPr="00DF0B57" w:rsidRDefault="006B1808" w:rsidP="001B4B99">
            <w:pPr>
              <w:jc w:val="both"/>
              <w:cnfStyle w:val="100000000000" w:firstRow="1" w:lastRow="0" w:firstColumn="0" w:lastColumn="0" w:oddVBand="0" w:evenVBand="0" w:oddHBand="0" w:evenHBand="0" w:firstRowFirstColumn="0" w:firstRowLastColumn="0" w:lastRowFirstColumn="0" w:lastRowLastColumn="0"/>
              <w:rPr>
                <w:sz w:val="20"/>
                <w:szCs w:val="20"/>
              </w:rPr>
            </w:pPr>
            <w:r w:rsidRPr="00DF0B57">
              <w:rPr>
                <w:sz w:val="20"/>
                <w:szCs w:val="20"/>
              </w:rPr>
              <w:t>Marzo</w:t>
            </w:r>
          </w:p>
        </w:tc>
        <w:tc>
          <w:tcPr>
            <w:tcW w:w="463" w:type="pct"/>
          </w:tcPr>
          <w:p w14:paraId="776602EF" w14:textId="77777777" w:rsidR="009E0FFC" w:rsidRPr="00DF0B57" w:rsidRDefault="006B1808" w:rsidP="001B4B99">
            <w:pPr>
              <w:jc w:val="both"/>
              <w:cnfStyle w:val="100000000000" w:firstRow="1" w:lastRow="0" w:firstColumn="0" w:lastColumn="0" w:oddVBand="0" w:evenVBand="0" w:oddHBand="0" w:evenHBand="0" w:firstRowFirstColumn="0" w:firstRowLastColumn="0" w:lastRowFirstColumn="0" w:lastRowLastColumn="0"/>
              <w:rPr>
                <w:sz w:val="20"/>
                <w:szCs w:val="20"/>
              </w:rPr>
            </w:pPr>
            <w:r w:rsidRPr="00DF0B57">
              <w:rPr>
                <w:sz w:val="20"/>
                <w:szCs w:val="20"/>
              </w:rPr>
              <w:t>Abril</w:t>
            </w:r>
          </w:p>
        </w:tc>
        <w:tc>
          <w:tcPr>
            <w:tcW w:w="463" w:type="pct"/>
          </w:tcPr>
          <w:p w14:paraId="1F8B8CAD" w14:textId="77777777" w:rsidR="009E0FFC" w:rsidRPr="00DF0B57" w:rsidRDefault="006B1808" w:rsidP="001B4B99">
            <w:pPr>
              <w:jc w:val="both"/>
              <w:cnfStyle w:val="100000000000" w:firstRow="1" w:lastRow="0" w:firstColumn="0" w:lastColumn="0" w:oddVBand="0" w:evenVBand="0" w:oddHBand="0" w:evenHBand="0" w:firstRowFirstColumn="0" w:firstRowLastColumn="0" w:lastRowFirstColumn="0" w:lastRowLastColumn="0"/>
              <w:rPr>
                <w:sz w:val="20"/>
                <w:szCs w:val="20"/>
              </w:rPr>
            </w:pPr>
            <w:r w:rsidRPr="00DF0B57">
              <w:rPr>
                <w:sz w:val="20"/>
                <w:szCs w:val="20"/>
              </w:rPr>
              <w:t>Mayo</w:t>
            </w:r>
          </w:p>
        </w:tc>
        <w:tc>
          <w:tcPr>
            <w:tcW w:w="463" w:type="pct"/>
          </w:tcPr>
          <w:p w14:paraId="47A09A72" w14:textId="77777777" w:rsidR="009E0FFC" w:rsidRPr="00DF0B57" w:rsidRDefault="006B1808" w:rsidP="001B4B99">
            <w:pPr>
              <w:jc w:val="both"/>
              <w:cnfStyle w:val="100000000000" w:firstRow="1" w:lastRow="0" w:firstColumn="0" w:lastColumn="0" w:oddVBand="0" w:evenVBand="0" w:oddHBand="0" w:evenHBand="0" w:firstRowFirstColumn="0" w:firstRowLastColumn="0" w:lastRowFirstColumn="0" w:lastRowLastColumn="0"/>
              <w:rPr>
                <w:sz w:val="20"/>
                <w:szCs w:val="20"/>
              </w:rPr>
            </w:pPr>
            <w:r w:rsidRPr="00DF0B57">
              <w:rPr>
                <w:sz w:val="20"/>
                <w:szCs w:val="20"/>
              </w:rPr>
              <w:t>Junio</w:t>
            </w:r>
          </w:p>
        </w:tc>
        <w:tc>
          <w:tcPr>
            <w:tcW w:w="463" w:type="pct"/>
          </w:tcPr>
          <w:p w14:paraId="7751D9D5" w14:textId="77777777" w:rsidR="009E0FFC" w:rsidRPr="00DF0B57" w:rsidRDefault="006B1808" w:rsidP="001B4B99">
            <w:pPr>
              <w:jc w:val="both"/>
              <w:cnfStyle w:val="100000000000" w:firstRow="1" w:lastRow="0" w:firstColumn="0" w:lastColumn="0" w:oddVBand="0" w:evenVBand="0" w:oddHBand="0" w:evenHBand="0" w:firstRowFirstColumn="0" w:firstRowLastColumn="0" w:lastRowFirstColumn="0" w:lastRowLastColumn="0"/>
              <w:rPr>
                <w:sz w:val="20"/>
                <w:szCs w:val="20"/>
              </w:rPr>
            </w:pPr>
            <w:r w:rsidRPr="00DF0B57">
              <w:rPr>
                <w:sz w:val="20"/>
                <w:szCs w:val="20"/>
              </w:rPr>
              <w:t>Julio</w:t>
            </w:r>
          </w:p>
        </w:tc>
        <w:tc>
          <w:tcPr>
            <w:tcW w:w="463" w:type="pct"/>
          </w:tcPr>
          <w:p w14:paraId="1A1EB917" w14:textId="77777777" w:rsidR="009E0FFC" w:rsidRPr="00DF0B57" w:rsidRDefault="006B1808" w:rsidP="001B4B99">
            <w:pPr>
              <w:jc w:val="both"/>
              <w:cnfStyle w:val="100000000000" w:firstRow="1" w:lastRow="0" w:firstColumn="0" w:lastColumn="0" w:oddVBand="0" w:evenVBand="0" w:oddHBand="0" w:evenHBand="0" w:firstRowFirstColumn="0" w:firstRowLastColumn="0" w:lastRowFirstColumn="0" w:lastRowLastColumn="0"/>
              <w:rPr>
                <w:sz w:val="20"/>
                <w:szCs w:val="20"/>
              </w:rPr>
            </w:pPr>
            <w:r w:rsidRPr="00DF0B57">
              <w:rPr>
                <w:sz w:val="20"/>
                <w:szCs w:val="20"/>
              </w:rPr>
              <w:t>Agosto</w:t>
            </w:r>
          </w:p>
        </w:tc>
        <w:tc>
          <w:tcPr>
            <w:tcW w:w="387" w:type="pct"/>
          </w:tcPr>
          <w:p w14:paraId="27AF72CF" w14:textId="77777777" w:rsidR="009E0FFC" w:rsidRPr="00DF0B57" w:rsidRDefault="006B1808" w:rsidP="001B4B99">
            <w:pPr>
              <w:jc w:val="both"/>
              <w:cnfStyle w:val="100000000000" w:firstRow="1" w:lastRow="0" w:firstColumn="0" w:lastColumn="0" w:oddVBand="0" w:evenVBand="0" w:oddHBand="0" w:evenHBand="0" w:firstRowFirstColumn="0" w:firstRowLastColumn="0" w:lastRowFirstColumn="0" w:lastRowLastColumn="0"/>
              <w:rPr>
                <w:sz w:val="20"/>
                <w:szCs w:val="20"/>
              </w:rPr>
            </w:pPr>
            <w:r w:rsidRPr="00DF0B57">
              <w:rPr>
                <w:sz w:val="20"/>
                <w:szCs w:val="20"/>
              </w:rPr>
              <w:t>Empleos perdidos</w:t>
            </w:r>
          </w:p>
        </w:tc>
        <w:tc>
          <w:tcPr>
            <w:tcW w:w="442" w:type="pct"/>
          </w:tcPr>
          <w:p w14:paraId="10D445AB" w14:textId="77777777" w:rsidR="009E0FFC" w:rsidRPr="00DF0B57" w:rsidRDefault="006B1808" w:rsidP="001B4B99">
            <w:pPr>
              <w:jc w:val="both"/>
              <w:cnfStyle w:val="100000000000" w:firstRow="1" w:lastRow="0" w:firstColumn="0" w:lastColumn="0" w:oddVBand="0" w:evenVBand="0" w:oddHBand="0" w:evenHBand="0" w:firstRowFirstColumn="0" w:firstRowLastColumn="0" w:lastRowFirstColumn="0" w:lastRowLastColumn="0"/>
              <w:rPr>
                <w:sz w:val="20"/>
                <w:szCs w:val="20"/>
              </w:rPr>
            </w:pPr>
            <w:r w:rsidRPr="00DF0B57">
              <w:rPr>
                <w:sz w:val="20"/>
                <w:szCs w:val="20"/>
              </w:rPr>
              <w:t>Porcentaje de pérdida</w:t>
            </w:r>
          </w:p>
        </w:tc>
      </w:tr>
      <w:tr w:rsidR="00DF0B57" w:rsidRPr="00DF0B57" w14:paraId="50DF86E1" w14:textId="77777777" w:rsidTr="00DF0B57">
        <w:trPr>
          <w:trHeight w:val="288"/>
        </w:trPr>
        <w:tc>
          <w:tcPr>
            <w:cnfStyle w:val="001000000000" w:firstRow="0" w:lastRow="0" w:firstColumn="1" w:lastColumn="0" w:oddVBand="0" w:evenVBand="0" w:oddHBand="0" w:evenHBand="0" w:firstRowFirstColumn="0" w:firstRowLastColumn="0" w:lastRowFirstColumn="0" w:lastRowLastColumn="0"/>
            <w:tcW w:w="603" w:type="pct"/>
            <w:tcBorders>
              <w:top w:val="single" w:sz="4" w:space="0" w:color="000000"/>
            </w:tcBorders>
          </w:tcPr>
          <w:p w14:paraId="1483AAA6" w14:textId="77777777" w:rsidR="009E0FFC" w:rsidRPr="00DF0B57" w:rsidRDefault="006B1808" w:rsidP="001B4B99">
            <w:pPr>
              <w:jc w:val="both"/>
              <w:rPr>
                <w:sz w:val="20"/>
                <w:szCs w:val="20"/>
              </w:rPr>
            </w:pPr>
            <w:r w:rsidRPr="00DF0B57">
              <w:rPr>
                <w:sz w:val="20"/>
                <w:szCs w:val="20"/>
              </w:rPr>
              <w:t>Cozumel</w:t>
            </w:r>
          </w:p>
        </w:tc>
        <w:tc>
          <w:tcPr>
            <w:tcW w:w="330" w:type="pct"/>
            <w:tcBorders>
              <w:top w:val="single" w:sz="4" w:space="0" w:color="000000"/>
            </w:tcBorders>
          </w:tcPr>
          <w:p w14:paraId="1A365FAC"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17,663</w:t>
            </w:r>
          </w:p>
        </w:tc>
        <w:tc>
          <w:tcPr>
            <w:tcW w:w="463" w:type="pct"/>
            <w:tcBorders>
              <w:top w:val="single" w:sz="4" w:space="0" w:color="000000"/>
            </w:tcBorders>
          </w:tcPr>
          <w:p w14:paraId="33011A42"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17,674</w:t>
            </w:r>
          </w:p>
        </w:tc>
        <w:tc>
          <w:tcPr>
            <w:tcW w:w="463" w:type="pct"/>
            <w:tcBorders>
              <w:top w:val="single" w:sz="4" w:space="0" w:color="000000"/>
            </w:tcBorders>
          </w:tcPr>
          <w:p w14:paraId="4C592879"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16,735</w:t>
            </w:r>
          </w:p>
        </w:tc>
        <w:tc>
          <w:tcPr>
            <w:tcW w:w="463" w:type="pct"/>
            <w:tcBorders>
              <w:top w:val="single" w:sz="4" w:space="0" w:color="000000"/>
            </w:tcBorders>
          </w:tcPr>
          <w:p w14:paraId="13728346"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16,087</w:t>
            </w:r>
          </w:p>
        </w:tc>
        <w:tc>
          <w:tcPr>
            <w:tcW w:w="463" w:type="pct"/>
            <w:tcBorders>
              <w:top w:val="single" w:sz="4" w:space="0" w:color="000000"/>
            </w:tcBorders>
          </w:tcPr>
          <w:p w14:paraId="2B22DBB0"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15,170</w:t>
            </w:r>
          </w:p>
        </w:tc>
        <w:tc>
          <w:tcPr>
            <w:tcW w:w="463" w:type="pct"/>
            <w:tcBorders>
              <w:top w:val="single" w:sz="4" w:space="0" w:color="000000"/>
            </w:tcBorders>
          </w:tcPr>
          <w:p w14:paraId="7352BECF"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14,647</w:t>
            </w:r>
          </w:p>
        </w:tc>
        <w:tc>
          <w:tcPr>
            <w:tcW w:w="463" w:type="pct"/>
            <w:tcBorders>
              <w:top w:val="single" w:sz="4" w:space="0" w:color="000000"/>
            </w:tcBorders>
          </w:tcPr>
          <w:p w14:paraId="486EFD2A"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13,454</w:t>
            </w:r>
          </w:p>
        </w:tc>
        <w:tc>
          <w:tcPr>
            <w:tcW w:w="463" w:type="pct"/>
            <w:tcBorders>
              <w:top w:val="single" w:sz="4" w:space="0" w:color="000000"/>
            </w:tcBorders>
          </w:tcPr>
          <w:p w14:paraId="64F318BC"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13,183</w:t>
            </w:r>
          </w:p>
        </w:tc>
        <w:tc>
          <w:tcPr>
            <w:tcW w:w="387" w:type="pct"/>
            <w:tcBorders>
              <w:top w:val="single" w:sz="4" w:space="0" w:color="000000"/>
            </w:tcBorders>
          </w:tcPr>
          <w:p w14:paraId="5D08D463"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4,480</w:t>
            </w:r>
          </w:p>
        </w:tc>
        <w:tc>
          <w:tcPr>
            <w:tcW w:w="442" w:type="pct"/>
            <w:tcBorders>
              <w:top w:val="single" w:sz="4" w:space="0" w:color="000000"/>
            </w:tcBorders>
          </w:tcPr>
          <w:p w14:paraId="36C8CFFA"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25.36</w:t>
            </w:r>
          </w:p>
        </w:tc>
      </w:tr>
      <w:tr w:rsidR="00DF0B57" w:rsidRPr="00DF0B57" w14:paraId="26135A24" w14:textId="77777777" w:rsidTr="00DF0B57">
        <w:trPr>
          <w:trHeight w:val="288"/>
        </w:trPr>
        <w:tc>
          <w:tcPr>
            <w:cnfStyle w:val="001000000000" w:firstRow="0" w:lastRow="0" w:firstColumn="1" w:lastColumn="0" w:oddVBand="0" w:evenVBand="0" w:oddHBand="0" w:evenHBand="0" w:firstRowFirstColumn="0" w:firstRowLastColumn="0" w:lastRowFirstColumn="0" w:lastRowLastColumn="0"/>
            <w:tcW w:w="603" w:type="pct"/>
          </w:tcPr>
          <w:p w14:paraId="2A465682" w14:textId="77777777" w:rsidR="009E0FFC" w:rsidRPr="00DF0B57" w:rsidRDefault="006B1808" w:rsidP="001B4B99">
            <w:pPr>
              <w:jc w:val="both"/>
              <w:rPr>
                <w:sz w:val="20"/>
                <w:szCs w:val="20"/>
              </w:rPr>
            </w:pPr>
            <w:r w:rsidRPr="00DF0B57">
              <w:rPr>
                <w:sz w:val="20"/>
                <w:szCs w:val="20"/>
              </w:rPr>
              <w:t>Othón P. Blanco</w:t>
            </w:r>
          </w:p>
        </w:tc>
        <w:tc>
          <w:tcPr>
            <w:tcW w:w="330" w:type="pct"/>
          </w:tcPr>
          <w:p w14:paraId="67717ADD"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24,681</w:t>
            </w:r>
          </w:p>
        </w:tc>
        <w:tc>
          <w:tcPr>
            <w:tcW w:w="463" w:type="pct"/>
          </w:tcPr>
          <w:p w14:paraId="07834EA0"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24,219</w:t>
            </w:r>
          </w:p>
        </w:tc>
        <w:tc>
          <w:tcPr>
            <w:tcW w:w="463" w:type="pct"/>
          </w:tcPr>
          <w:p w14:paraId="536BF789"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24,304</w:t>
            </w:r>
          </w:p>
        </w:tc>
        <w:tc>
          <w:tcPr>
            <w:tcW w:w="463" w:type="pct"/>
          </w:tcPr>
          <w:p w14:paraId="70043170"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23,554</w:t>
            </w:r>
          </w:p>
        </w:tc>
        <w:tc>
          <w:tcPr>
            <w:tcW w:w="463" w:type="pct"/>
          </w:tcPr>
          <w:p w14:paraId="6BE97A64"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22,875</w:t>
            </w:r>
          </w:p>
        </w:tc>
        <w:tc>
          <w:tcPr>
            <w:tcW w:w="463" w:type="pct"/>
          </w:tcPr>
          <w:p w14:paraId="77092CF6"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22,889</w:t>
            </w:r>
          </w:p>
        </w:tc>
        <w:tc>
          <w:tcPr>
            <w:tcW w:w="463" w:type="pct"/>
          </w:tcPr>
          <w:p w14:paraId="360EC318"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22,412</w:t>
            </w:r>
          </w:p>
        </w:tc>
        <w:tc>
          <w:tcPr>
            <w:tcW w:w="463" w:type="pct"/>
          </w:tcPr>
          <w:p w14:paraId="6F5F2E95"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22,427</w:t>
            </w:r>
          </w:p>
        </w:tc>
        <w:tc>
          <w:tcPr>
            <w:tcW w:w="387" w:type="pct"/>
          </w:tcPr>
          <w:p w14:paraId="318AF32E"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2,254</w:t>
            </w:r>
          </w:p>
        </w:tc>
        <w:tc>
          <w:tcPr>
            <w:tcW w:w="442" w:type="pct"/>
          </w:tcPr>
          <w:p w14:paraId="3A9FF8AA"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9.13</w:t>
            </w:r>
          </w:p>
        </w:tc>
      </w:tr>
      <w:tr w:rsidR="00DF0B57" w:rsidRPr="00DF0B57" w14:paraId="7E5D0629" w14:textId="77777777" w:rsidTr="00DF0B57">
        <w:trPr>
          <w:trHeight w:val="288"/>
        </w:trPr>
        <w:tc>
          <w:tcPr>
            <w:cnfStyle w:val="001000000000" w:firstRow="0" w:lastRow="0" w:firstColumn="1" w:lastColumn="0" w:oddVBand="0" w:evenVBand="0" w:oddHBand="0" w:evenHBand="0" w:firstRowFirstColumn="0" w:firstRowLastColumn="0" w:lastRowFirstColumn="0" w:lastRowLastColumn="0"/>
            <w:tcW w:w="603" w:type="pct"/>
          </w:tcPr>
          <w:p w14:paraId="4F75DC63" w14:textId="77777777" w:rsidR="009E0FFC" w:rsidRPr="00DF0B57" w:rsidRDefault="006B1808" w:rsidP="001B4B99">
            <w:pPr>
              <w:jc w:val="both"/>
              <w:rPr>
                <w:sz w:val="20"/>
                <w:szCs w:val="20"/>
              </w:rPr>
            </w:pPr>
            <w:r w:rsidRPr="00DF0B57">
              <w:rPr>
                <w:sz w:val="20"/>
                <w:szCs w:val="20"/>
              </w:rPr>
              <w:t>Benito Juárez</w:t>
            </w:r>
          </w:p>
        </w:tc>
        <w:tc>
          <w:tcPr>
            <w:tcW w:w="330" w:type="pct"/>
          </w:tcPr>
          <w:p w14:paraId="77949C7A"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299,246</w:t>
            </w:r>
          </w:p>
        </w:tc>
        <w:tc>
          <w:tcPr>
            <w:tcW w:w="463" w:type="pct"/>
          </w:tcPr>
          <w:p w14:paraId="1B43DE59"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299,229</w:t>
            </w:r>
          </w:p>
        </w:tc>
        <w:tc>
          <w:tcPr>
            <w:tcW w:w="463" w:type="pct"/>
          </w:tcPr>
          <w:p w14:paraId="15B5B0B6"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275,803</w:t>
            </w:r>
          </w:p>
        </w:tc>
        <w:tc>
          <w:tcPr>
            <w:tcW w:w="463" w:type="pct"/>
          </w:tcPr>
          <w:p w14:paraId="7648E851"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248,168</w:t>
            </w:r>
          </w:p>
        </w:tc>
        <w:tc>
          <w:tcPr>
            <w:tcW w:w="463" w:type="pct"/>
          </w:tcPr>
          <w:p w14:paraId="66056016"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232,627</w:t>
            </w:r>
          </w:p>
        </w:tc>
        <w:tc>
          <w:tcPr>
            <w:tcW w:w="463" w:type="pct"/>
          </w:tcPr>
          <w:p w14:paraId="77442526"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229,914</w:t>
            </w:r>
          </w:p>
        </w:tc>
        <w:tc>
          <w:tcPr>
            <w:tcW w:w="463" w:type="pct"/>
          </w:tcPr>
          <w:p w14:paraId="0C5217FF"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227,979</w:t>
            </w:r>
          </w:p>
        </w:tc>
        <w:tc>
          <w:tcPr>
            <w:tcW w:w="463" w:type="pct"/>
          </w:tcPr>
          <w:p w14:paraId="446F4869"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226,851</w:t>
            </w:r>
          </w:p>
        </w:tc>
        <w:tc>
          <w:tcPr>
            <w:tcW w:w="387" w:type="pct"/>
          </w:tcPr>
          <w:p w14:paraId="7C39B583"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72,395</w:t>
            </w:r>
          </w:p>
        </w:tc>
        <w:tc>
          <w:tcPr>
            <w:tcW w:w="442" w:type="pct"/>
          </w:tcPr>
          <w:p w14:paraId="4CF56CD5"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24.19</w:t>
            </w:r>
          </w:p>
        </w:tc>
      </w:tr>
      <w:tr w:rsidR="00DF0B57" w:rsidRPr="00DF0B57" w14:paraId="6388468E" w14:textId="77777777" w:rsidTr="00DF0B57">
        <w:trPr>
          <w:trHeight w:val="288"/>
        </w:trPr>
        <w:tc>
          <w:tcPr>
            <w:cnfStyle w:val="001000000000" w:firstRow="0" w:lastRow="0" w:firstColumn="1" w:lastColumn="0" w:oddVBand="0" w:evenVBand="0" w:oddHBand="0" w:evenHBand="0" w:firstRowFirstColumn="0" w:firstRowLastColumn="0" w:lastRowFirstColumn="0" w:lastRowLastColumn="0"/>
            <w:tcW w:w="603" w:type="pct"/>
          </w:tcPr>
          <w:p w14:paraId="51C24A7B" w14:textId="77777777" w:rsidR="009E0FFC" w:rsidRPr="00DF0B57" w:rsidRDefault="006B1808" w:rsidP="001B4B99">
            <w:pPr>
              <w:jc w:val="both"/>
              <w:rPr>
                <w:sz w:val="20"/>
                <w:szCs w:val="20"/>
              </w:rPr>
            </w:pPr>
            <w:r w:rsidRPr="00DF0B57">
              <w:rPr>
                <w:sz w:val="20"/>
                <w:szCs w:val="20"/>
              </w:rPr>
              <w:t>Isla Mujeres</w:t>
            </w:r>
          </w:p>
        </w:tc>
        <w:tc>
          <w:tcPr>
            <w:tcW w:w="330" w:type="pct"/>
          </w:tcPr>
          <w:p w14:paraId="25B026A1"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7,637</w:t>
            </w:r>
          </w:p>
        </w:tc>
        <w:tc>
          <w:tcPr>
            <w:tcW w:w="463" w:type="pct"/>
          </w:tcPr>
          <w:p w14:paraId="71C6AF13"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8,048</w:t>
            </w:r>
          </w:p>
        </w:tc>
        <w:tc>
          <w:tcPr>
            <w:tcW w:w="463" w:type="pct"/>
          </w:tcPr>
          <w:p w14:paraId="6E375BC5"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5,155</w:t>
            </w:r>
          </w:p>
        </w:tc>
        <w:tc>
          <w:tcPr>
            <w:tcW w:w="463" w:type="pct"/>
          </w:tcPr>
          <w:p w14:paraId="5CC875BF"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4,479</w:t>
            </w:r>
          </w:p>
        </w:tc>
        <w:tc>
          <w:tcPr>
            <w:tcW w:w="463" w:type="pct"/>
          </w:tcPr>
          <w:p w14:paraId="115A10DB"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4,294</w:t>
            </w:r>
          </w:p>
        </w:tc>
        <w:tc>
          <w:tcPr>
            <w:tcW w:w="463" w:type="pct"/>
          </w:tcPr>
          <w:p w14:paraId="47456DB0"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4,574</w:t>
            </w:r>
          </w:p>
        </w:tc>
        <w:tc>
          <w:tcPr>
            <w:tcW w:w="463" w:type="pct"/>
          </w:tcPr>
          <w:p w14:paraId="4D8DC165"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4,574</w:t>
            </w:r>
          </w:p>
        </w:tc>
        <w:tc>
          <w:tcPr>
            <w:tcW w:w="463" w:type="pct"/>
          </w:tcPr>
          <w:p w14:paraId="52410BF8"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4,664</w:t>
            </w:r>
          </w:p>
        </w:tc>
        <w:tc>
          <w:tcPr>
            <w:tcW w:w="387" w:type="pct"/>
          </w:tcPr>
          <w:p w14:paraId="2474FF7D"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2,973</w:t>
            </w:r>
          </w:p>
        </w:tc>
        <w:tc>
          <w:tcPr>
            <w:tcW w:w="442" w:type="pct"/>
          </w:tcPr>
          <w:p w14:paraId="377A2272"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38.93</w:t>
            </w:r>
          </w:p>
        </w:tc>
      </w:tr>
      <w:tr w:rsidR="00DF0B57" w:rsidRPr="00DF0B57" w14:paraId="2AD1B8E0" w14:textId="77777777" w:rsidTr="00DF0B57">
        <w:trPr>
          <w:trHeight w:val="288"/>
        </w:trPr>
        <w:tc>
          <w:tcPr>
            <w:cnfStyle w:val="001000000000" w:firstRow="0" w:lastRow="0" w:firstColumn="1" w:lastColumn="0" w:oddVBand="0" w:evenVBand="0" w:oddHBand="0" w:evenHBand="0" w:firstRowFirstColumn="0" w:firstRowLastColumn="0" w:lastRowFirstColumn="0" w:lastRowLastColumn="0"/>
            <w:tcW w:w="603" w:type="pct"/>
          </w:tcPr>
          <w:p w14:paraId="7E0798F0" w14:textId="77777777" w:rsidR="009E0FFC" w:rsidRPr="00DF0B57" w:rsidRDefault="006B1808" w:rsidP="001B4B99">
            <w:pPr>
              <w:jc w:val="both"/>
              <w:rPr>
                <w:sz w:val="20"/>
                <w:szCs w:val="20"/>
              </w:rPr>
            </w:pPr>
            <w:r w:rsidRPr="00DF0B57">
              <w:rPr>
                <w:sz w:val="20"/>
                <w:szCs w:val="20"/>
              </w:rPr>
              <w:t>Felipe Carrillo Puerto</w:t>
            </w:r>
          </w:p>
        </w:tc>
        <w:tc>
          <w:tcPr>
            <w:tcW w:w="330" w:type="pct"/>
          </w:tcPr>
          <w:p w14:paraId="048329D9"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1,201</w:t>
            </w:r>
          </w:p>
        </w:tc>
        <w:tc>
          <w:tcPr>
            <w:tcW w:w="463" w:type="pct"/>
          </w:tcPr>
          <w:p w14:paraId="36E92AA5"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1,203</w:t>
            </w:r>
          </w:p>
        </w:tc>
        <w:tc>
          <w:tcPr>
            <w:tcW w:w="463" w:type="pct"/>
          </w:tcPr>
          <w:p w14:paraId="2A15DA5A"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1,161</w:t>
            </w:r>
          </w:p>
        </w:tc>
        <w:tc>
          <w:tcPr>
            <w:tcW w:w="463" w:type="pct"/>
          </w:tcPr>
          <w:p w14:paraId="23668371"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1,075</w:t>
            </w:r>
          </w:p>
        </w:tc>
        <w:tc>
          <w:tcPr>
            <w:tcW w:w="463" w:type="pct"/>
          </w:tcPr>
          <w:p w14:paraId="2ECD4A3D"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1,021</w:t>
            </w:r>
          </w:p>
        </w:tc>
        <w:tc>
          <w:tcPr>
            <w:tcW w:w="463" w:type="pct"/>
          </w:tcPr>
          <w:p w14:paraId="14A5C4E1"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1,017</w:t>
            </w:r>
          </w:p>
        </w:tc>
        <w:tc>
          <w:tcPr>
            <w:tcW w:w="463" w:type="pct"/>
          </w:tcPr>
          <w:p w14:paraId="367EA07D"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1,020</w:t>
            </w:r>
          </w:p>
        </w:tc>
        <w:tc>
          <w:tcPr>
            <w:tcW w:w="463" w:type="pct"/>
          </w:tcPr>
          <w:p w14:paraId="32DFB074"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1,010</w:t>
            </w:r>
          </w:p>
        </w:tc>
        <w:tc>
          <w:tcPr>
            <w:tcW w:w="387" w:type="pct"/>
          </w:tcPr>
          <w:p w14:paraId="4A813233"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191</w:t>
            </w:r>
          </w:p>
        </w:tc>
        <w:tc>
          <w:tcPr>
            <w:tcW w:w="442" w:type="pct"/>
          </w:tcPr>
          <w:p w14:paraId="596FA31F"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15.90</w:t>
            </w:r>
          </w:p>
        </w:tc>
      </w:tr>
      <w:tr w:rsidR="00DF0B57" w:rsidRPr="00DF0B57" w14:paraId="119CE318" w14:textId="77777777" w:rsidTr="00DF0B57">
        <w:trPr>
          <w:trHeight w:val="288"/>
        </w:trPr>
        <w:tc>
          <w:tcPr>
            <w:cnfStyle w:val="001000000000" w:firstRow="0" w:lastRow="0" w:firstColumn="1" w:lastColumn="0" w:oddVBand="0" w:evenVBand="0" w:oddHBand="0" w:evenHBand="0" w:firstRowFirstColumn="0" w:firstRowLastColumn="0" w:lastRowFirstColumn="0" w:lastRowLastColumn="0"/>
            <w:tcW w:w="603" w:type="pct"/>
          </w:tcPr>
          <w:p w14:paraId="4AAE3055" w14:textId="77777777" w:rsidR="009E0FFC" w:rsidRPr="00DF0B57" w:rsidRDefault="006B1808" w:rsidP="001B4B99">
            <w:pPr>
              <w:jc w:val="both"/>
              <w:rPr>
                <w:sz w:val="20"/>
                <w:szCs w:val="20"/>
              </w:rPr>
            </w:pPr>
            <w:r w:rsidRPr="00DF0B57">
              <w:rPr>
                <w:sz w:val="20"/>
                <w:szCs w:val="20"/>
              </w:rPr>
              <w:t>José María Morelos</w:t>
            </w:r>
          </w:p>
        </w:tc>
        <w:tc>
          <w:tcPr>
            <w:tcW w:w="330" w:type="pct"/>
          </w:tcPr>
          <w:p w14:paraId="1781073F"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189</w:t>
            </w:r>
          </w:p>
        </w:tc>
        <w:tc>
          <w:tcPr>
            <w:tcW w:w="463" w:type="pct"/>
          </w:tcPr>
          <w:p w14:paraId="4BFFB19C"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166</w:t>
            </w:r>
          </w:p>
        </w:tc>
        <w:tc>
          <w:tcPr>
            <w:tcW w:w="463" w:type="pct"/>
          </w:tcPr>
          <w:p w14:paraId="2B4D9094"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210</w:t>
            </w:r>
          </w:p>
        </w:tc>
        <w:tc>
          <w:tcPr>
            <w:tcW w:w="463" w:type="pct"/>
          </w:tcPr>
          <w:p w14:paraId="59B04E9D"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213</w:t>
            </w:r>
          </w:p>
        </w:tc>
        <w:tc>
          <w:tcPr>
            <w:tcW w:w="463" w:type="pct"/>
          </w:tcPr>
          <w:p w14:paraId="5BC4B680"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227</w:t>
            </w:r>
          </w:p>
        </w:tc>
        <w:tc>
          <w:tcPr>
            <w:tcW w:w="463" w:type="pct"/>
          </w:tcPr>
          <w:p w14:paraId="249A21B2"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188</w:t>
            </w:r>
          </w:p>
        </w:tc>
        <w:tc>
          <w:tcPr>
            <w:tcW w:w="463" w:type="pct"/>
          </w:tcPr>
          <w:p w14:paraId="480B714C"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214</w:t>
            </w:r>
          </w:p>
        </w:tc>
        <w:tc>
          <w:tcPr>
            <w:tcW w:w="463" w:type="pct"/>
          </w:tcPr>
          <w:p w14:paraId="7A063CF5"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220</w:t>
            </w:r>
          </w:p>
        </w:tc>
        <w:tc>
          <w:tcPr>
            <w:tcW w:w="387" w:type="pct"/>
          </w:tcPr>
          <w:p w14:paraId="5C5D86BA"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-31</w:t>
            </w:r>
          </w:p>
        </w:tc>
        <w:tc>
          <w:tcPr>
            <w:tcW w:w="442" w:type="pct"/>
          </w:tcPr>
          <w:p w14:paraId="0B067400"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-16.40</w:t>
            </w:r>
          </w:p>
        </w:tc>
      </w:tr>
      <w:tr w:rsidR="00DF0B57" w:rsidRPr="00DF0B57" w14:paraId="4A3E1683" w14:textId="77777777" w:rsidTr="00DF0B57">
        <w:trPr>
          <w:trHeight w:val="288"/>
        </w:trPr>
        <w:tc>
          <w:tcPr>
            <w:cnfStyle w:val="001000000000" w:firstRow="0" w:lastRow="0" w:firstColumn="1" w:lastColumn="0" w:oddVBand="0" w:evenVBand="0" w:oddHBand="0" w:evenHBand="0" w:firstRowFirstColumn="0" w:firstRowLastColumn="0" w:lastRowFirstColumn="0" w:lastRowLastColumn="0"/>
            <w:tcW w:w="603" w:type="pct"/>
          </w:tcPr>
          <w:p w14:paraId="4AC0C0F2" w14:textId="77777777" w:rsidR="009E0FFC" w:rsidRPr="00DF0B57" w:rsidRDefault="006B1808" w:rsidP="001B4B99">
            <w:pPr>
              <w:jc w:val="both"/>
              <w:rPr>
                <w:sz w:val="20"/>
                <w:szCs w:val="20"/>
              </w:rPr>
            </w:pPr>
            <w:r w:rsidRPr="00DF0B57">
              <w:rPr>
                <w:sz w:val="20"/>
                <w:szCs w:val="20"/>
              </w:rPr>
              <w:t>Lázaro Cárdenas</w:t>
            </w:r>
          </w:p>
        </w:tc>
        <w:tc>
          <w:tcPr>
            <w:tcW w:w="330" w:type="pct"/>
          </w:tcPr>
          <w:p w14:paraId="5FB6EAB7"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723</w:t>
            </w:r>
          </w:p>
        </w:tc>
        <w:tc>
          <w:tcPr>
            <w:tcW w:w="463" w:type="pct"/>
          </w:tcPr>
          <w:p w14:paraId="0757506A"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705</w:t>
            </w:r>
          </w:p>
        </w:tc>
        <w:tc>
          <w:tcPr>
            <w:tcW w:w="463" w:type="pct"/>
          </w:tcPr>
          <w:p w14:paraId="3BB4B57F"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683</w:t>
            </w:r>
          </w:p>
        </w:tc>
        <w:tc>
          <w:tcPr>
            <w:tcW w:w="463" w:type="pct"/>
          </w:tcPr>
          <w:p w14:paraId="1EA38B73"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649</w:t>
            </w:r>
          </w:p>
        </w:tc>
        <w:tc>
          <w:tcPr>
            <w:tcW w:w="463" w:type="pct"/>
          </w:tcPr>
          <w:p w14:paraId="03298B1B"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623</w:t>
            </w:r>
          </w:p>
        </w:tc>
        <w:tc>
          <w:tcPr>
            <w:tcW w:w="463" w:type="pct"/>
          </w:tcPr>
          <w:p w14:paraId="6BCA337E"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598</w:t>
            </w:r>
          </w:p>
        </w:tc>
        <w:tc>
          <w:tcPr>
            <w:tcW w:w="463" w:type="pct"/>
          </w:tcPr>
          <w:p w14:paraId="47265AD1"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675</w:t>
            </w:r>
          </w:p>
        </w:tc>
        <w:tc>
          <w:tcPr>
            <w:tcW w:w="463" w:type="pct"/>
          </w:tcPr>
          <w:p w14:paraId="2576E004"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677</w:t>
            </w:r>
          </w:p>
        </w:tc>
        <w:tc>
          <w:tcPr>
            <w:tcW w:w="387" w:type="pct"/>
          </w:tcPr>
          <w:p w14:paraId="5C7CB5FE"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46</w:t>
            </w:r>
          </w:p>
        </w:tc>
        <w:tc>
          <w:tcPr>
            <w:tcW w:w="442" w:type="pct"/>
          </w:tcPr>
          <w:p w14:paraId="375EC87C"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6.36</w:t>
            </w:r>
          </w:p>
        </w:tc>
      </w:tr>
      <w:tr w:rsidR="00DF0B57" w:rsidRPr="00DF0B57" w14:paraId="65A482DF" w14:textId="77777777" w:rsidTr="00DF0B57">
        <w:trPr>
          <w:trHeight w:val="288"/>
        </w:trPr>
        <w:tc>
          <w:tcPr>
            <w:cnfStyle w:val="001000000000" w:firstRow="0" w:lastRow="0" w:firstColumn="1" w:lastColumn="0" w:oddVBand="0" w:evenVBand="0" w:oddHBand="0" w:evenHBand="0" w:firstRowFirstColumn="0" w:firstRowLastColumn="0" w:lastRowFirstColumn="0" w:lastRowLastColumn="0"/>
            <w:tcW w:w="603" w:type="pct"/>
          </w:tcPr>
          <w:p w14:paraId="4AF274C8" w14:textId="77777777" w:rsidR="009E0FFC" w:rsidRPr="00DF0B57" w:rsidRDefault="006B1808" w:rsidP="001B4B99">
            <w:pPr>
              <w:jc w:val="both"/>
              <w:rPr>
                <w:sz w:val="20"/>
                <w:szCs w:val="20"/>
              </w:rPr>
            </w:pPr>
            <w:r w:rsidRPr="00DF0B57">
              <w:rPr>
                <w:sz w:val="20"/>
                <w:szCs w:val="20"/>
              </w:rPr>
              <w:t>Solidaridad</w:t>
            </w:r>
          </w:p>
        </w:tc>
        <w:tc>
          <w:tcPr>
            <w:tcW w:w="330" w:type="pct"/>
          </w:tcPr>
          <w:p w14:paraId="52770AA6"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106,063</w:t>
            </w:r>
          </w:p>
        </w:tc>
        <w:tc>
          <w:tcPr>
            <w:tcW w:w="463" w:type="pct"/>
          </w:tcPr>
          <w:p w14:paraId="3BE07505"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105,803</w:t>
            </w:r>
          </w:p>
        </w:tc>
        <w:tc>
          <w:tcPr>
            <w:tcW w:w="463" w:type="pct"/>
          </w:tcPr>
          <w:p w14:paraId="2CF61E2E"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88,624</w:t>
            </w:r>
          </w:p>
        </w:tc>
        <w:tc>
          <w:tcPr>
            <w:tcW w:w="463" w:type="pct"/>
          </w:tcPr>
          <w:p w14:paraId="78F08A9F"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75,820</w:t>
            </w:r>
          </w:p>
        </w:tc>
        <w:tc>
          <w:tcPr>
            <w:tcW w:w="463" w:type="pct"/>
          </w:tcPr>
          <w:p w14:paraId="3F02F3A4"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72,283</w:t>
            </w:r>
          </w:p>
        </w:tc>
        <w:tc>
          <w:tcPr>
            <w:tcW w:w="463" w:type="pct"/>
          </w:tcPr>
          <w:p w14:paraId="6F49BA69"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75,341</w:t>
            </w:r>
          </w:p>
        </w:tc>
        <w:tc>
          <w:tcPr>
            <w:tcW w:w="463" w:type="pct"/>
          </w:tcPr>
          <w:p w14:paraId="7A813432"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75,853</w:t>
            </w:r>
          </w:p>
        </w:tc>
        <w:tc>
          <w:tcPr>
            <w:tcW w:w="463" w:type="pct"/>
          </w:tcPr>
          <w:p w14:paraId="49BC4B4A"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76,890</w:t>
            </w:r>
          </w:p>
        </w:tc>
        <w:tc>
          <w:tcPr>
            <w:tcW w:w="387" w:type="pct"/>
          </w:tcPr>
          <w:p w14:paraId="57A129BA"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29,173</w:t>
            </w:r>
          </w:p>
        </w:tc>
        <w:tc>
          <w:tcPr>
            <w:tcW w:w="442" w:type="pct"/>
          </w:tcPr>
          <w:p w14:paraId="5CCAA839"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27.51</w:t>
            </w:r>
          </w:p>
        </w:tc>
      </w:tr>
      <w:tr w:rsidR="00DF0B57" w:rsidRPr="00DF0B57" w14:paraId="304D5D29" w14:textId="77777777" w:rsidTr="00DF0B57">
        <w:trPr>
          <w:trHeight w:val="288"/>
        </w:trPr>
        <w:tc>
          <w:tcPr>
            <w:cnfStyle w:val="001000000000" w:firstRow="0" w:lastRow="0" w:firstColumn="1" w:lastColumn="0" w:oddVBand="0" w:evenVBand="0" w:oddHBand="0" w:evenHBand="0" w:firstRowFirstColumn="0" w:firstRowLastColumn="0" w:lastRowFirstColumn="0" w:lastRowLastColumn="0"/>
            <w:tcW w:w="603" w:type="pct"/>
          </w:tcPr>
          <w:p w14:paraId="733DA1FD" w14:textId="77777777" w:rsidR="009E0FFC" w:rsidRPr="00DF0B57" w:rsidRDefault="006B1808" w:rsidP="001B4B99">
            <w:pPr>
              <w:jc w:val="both"/>
              <w:rPr>
                <w:sz w:val="20"/>
                <w:szCs w:val="20"/>
              </w:rPr>
            </w:pPr>
            <w:r w:rsidRPr="00DF0B57">
              <w:rPr>
                <w:sz w:val="20"/>
                <w:szCs w:val="20"/>
              </w:rPr>
              <w:lastRenderedPageBreak/>
              <w:t>Tulum</w:t>
            </w:r>
          </w:p>
        </w:tc>
        <w:tc>
          <w:tcPr>
            <w:tcW w:w="330" w:type="pct"/>
          </w:tcPr>
          <w:p w14:paraId="1E7C6637"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11,464</w:t>
            </w:r>
          </w:p>
        </w:tc>
        <w:tc>
          <w:tcPr>
            <w:tcW w:w="463" w:type="pct"/>
          </w:tcPr>
          <w:p w14:paraId="256A16D6"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11,365</w:t>
            </w:r>
          </w:p>
        </w:tc>
        <w:tc>
          <w:tcPr>
            <w:tcW w:w="463" w:type="pct"/>
          </w:tcPr>
          <w:p w14:paraId="71FAD4D3"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9,690</w:t>
            </w:r>
          </w:p>
        </w:tc>
        <w:tc>
          <w:tcPr>
            <w:tcW w:w="463" w:type="pct"/>
          </w:tcPr>
          <w:p w14:paraId="3EC38EA0"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7,532</w:t>
            </w:r>
          </w:p>
        </w:tc>
        <w:tc>
          <w:tcPr>
            <w:tcW w:w="463" w:type="pct"/>
          </w:tcPr>
          <w:p w14:paraId="6F436039"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7,384</w:t>
            </w:r>
          </w:p>
        </w:tc>
        <w:tc>
          <w:tcPr>
            <w:tcW w:w="463" w:type="pct"/>
          </w:tcPr>
          <w:p w14:paraId="06CF4B38"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8,192</w:t>
            </w:r>
          </w:p>
        </w:tc>
        <w:tc>
          <w:tcPr>
            <w:tcW w:w="463" w:type="pct"/>
          </w:tcPr>
          <w:p w14:paraId="59855505"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8,341</w:t>
            </w:r>
          </w:p>
        </w:tc>
        <w:tc>
          <w:tcPr>
            <w:tcW w:w="463" w:type="pct"/>
          </w:tcPr>
          <w:p w14:paraId="6B1B8B10"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8,511</w:t>
            </w:r>
          </w:p>
        </w:tc>
        <w:tc>
          <w:tcPr>
            <w:tcW w:w="387" w:type="pct"/>
          </w:tcPr>
          <w:p w14:paraId="1AB2D462"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2,953</w:t>
            </w:r>
          </w:p>
        </w:tc>
        <w:tc>
          <w:tcPr>
            <w:tcW w:w="442" w:type="pct"/>
          </w:tcPr>
          <w:p w14:paraId="598A78E9"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25.76</w:t>
            </w:r>
          </w:p>
        </w:tc>
      </w:tr>
      <w:tr w:rsidR="00DF0B57" w:rsidRPr="00DF0B57" w14:paraId="73AB0741" w14:textId="77777777" w:rsidTr="00DF0B57">
        <w:trPr>
          <w:trHeight w:val="288"/>
        </w:trPr>
        <w:tc>
          <w:tcPr>
            <w:cnfStyle w:val="001000000000" w:firstRow="0" w:lastRow="0" w:firstColumn="1" w:lastColumn="0" w:oddVBand="0" w:evenVBand="0" w:oddHBand="0" w:evenHBand="0" w:firstRowFirstColumn="0" w:firstRowLastColumn="0" w:lastRowFirstColumn="0" w:lastRowLastColumn="0"/>
            <w:tcW w:w="603" w:type="pct"/>
          </w:tcPr>
          <w:p w14:paraId="22FBB18F" w14:textId="77777777" w:rsidR="009E0FFC" w:rsidRPr="00DF0B57" w:rsidRDefault="006B1808" w:rsidP="001B4B99">
            <w:pPr>
              <w:jc w:val="both"/>
              <w:rPr>
                <w:sz w:val="20"/>
                <w:szCs w:val="20"/>
              </w:rPr>
            </w:pPr>
            <w:r w:rsidRPr="00DF0B57">
              <w:rPr>
                <w:sz w:val="20"/>
                <w:szCs w:val="20"/>
              </w:rPr>
              <w:t>Bacalar</w:t>
            </w:r>
          </w:p>
        </w:tc>
        <w:tc>
          <w:tcPr>
            <w:tcW w:w="330" w:type="pct"/>
          </w:tcPr>
          <w:p w14:paraId="2CD76F40"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695</w:t>
            </w:r>
          </w:p>
        </w:tc>
        <w:tc>
          <w:tcPr>
            <w:tcW w:w="463" w:type="pct"/>
          </w:tcPr>
          <w:p w14:paraId="5FD3BBD8"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726</w:t>
            </w:r>
          </w:p>
        </w:tc>
        <w:tc>
          <w:tcPr>
            <w:tcW w:w="463" w:type="pct"/>
          </w:tcPr>
          <w:p w14:paraId="58DA4641"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782</w:t>
            </w:r>
          </w:p>
        </w:tc>
        <w:tc>
          <w:tcPr>
            <w:tcW w:w="463" w:type="pct"/>
          </w:tcPr>
          <w:p w14:paraId="48C5FDF6"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710</w:t>
            </w:r>
          </w:p>
        </w:tc>
        <w:tc>
          <w:tcPr>
            <w:tcW w:w="463" w:type="pct"/>
          </w:tcPr>
          <w:p w14:paraId="6EAC91BE"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656</w:t>
            </w:r>
          </w:p>
        </w:tc>
        <w:tc>
          <w:tcPr>
            <w:tcW w:w="463" w:type="pct"/>
          </w:tcPr>
          <w:p w14:paraId="6D601BE2"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652</w:t>
            </w:r>
          </w:p>
        </w:tc>
        <w:tc>
          <w:tcPr>
            <w:tcW w:w="463" w:type="pct"/>
          </w:tcPr>
          <w:p w14:paraId="1B1AA2AB"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633</w:t>
            </w:r>
          </w:p>
        </w:tc>
        <w:tc>
          <w:tcPr>
            <w:tcW w:w="463" w:type="pct"/>
          </w:tcPr>
          <w:p w14:paraId="67DF2D72"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636</w:t>
            </w:r>
          </w:p>
        </w:tc>
        <w:tc>
          <w:tcPr>
            <w:tcW w:w="387" w:type="pct"/>
          </w:tcPr>
          <w:p w14:paraId="77DF5882"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59</w:t>
            </w:r>
          </w:p>
        </w:tc>
        <w:tc>
          <w:tcPr>
            <w:tcW w:w="442" w:type="pct"/>
          </w:tcPr>
          <w:p w14:paraId="4E537B39"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8.49</w:t>
            </w:r>
          </w:p>
        </w:tc>
      </w:tr>
      <w:tr w:rsidR="00DF0B57" w:rsidRPr="00DF0B57" w14:paraId="4F2C812F" w14:textId="77777777" w:rsidTr="00DF0B57">
        <w:trPr>
          <w:trHeight w:val="288"/>
        </w:trPr>
        <w:tc>
          <w:tcPr>
            <w:cnfStyle w:val="001000000000" w:firstRow="0" w:lastRow="0" w:firstColumn="1" w:lastColumn="0" w:oddVBand="0" w:evenVBand="0" w:oddHBand="0" w:evenHBand="0" w:firstRowFirstColumn="0" w:firstRowLastColumn="0" w:lastRowFirstColumn="0" w:lastRowLastColumn="0"/>
            <w:tcW w:w="603" w:type="pct"/>
            <w:tcBorders>
              <w:bottom w:val="single" w:sz="4" w:space="0" w:color="000000"/>
            </w:tcBorders>
          </w:tcPr>
          <w:p w14:paraId="034248BF" w14:textId="77777777" w:rsidR="009E0FFC" w:rsidRPr="00DF0B57" w:rsidRDefault="006B1808" w:rsidP="001B4B99">
            <w:pPr>
              <w:jc w:val="both"/>
              <w:rPr>
                <w:sz w:val="20"/>
                <w:szCs w:val="20"/>
              </w:rPr>
            </w:pPr>
            <w:r w:rsidRPr="00DF0B57">
              <w:rPr>
                <w:sz w:val="20"/>
                <w:szCs w:val="20"/>
              </w:rPr>
              <w:t>Puerto Morelos</w:t>
            </w:r>
          </w:p>
        </w:tc>
        <w:tc>
          <w:tcPr>
            <w:tcW w:w="330" w:type="pct"/>
            <w:tcBorders>
              <w:bottom w:val="single" w:sz="4" w:space="0" w:color="000000"/>
            </w:tcBorders>
          </w:tcPr>
          <w:p w14:paraId="20ED6BE1"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2,737</w:t>
            </w:r>
          </w:p>
        </w:tc>
        <w:tc>
          <w:tcPr>
            <w:tcW w:w="463" w:type="pct"/>
            <w:tcBorders>
              <w:bottom w:val="single" w:sz="4" w:space="0" w:color="000000"/>
            </w:tcBorders>
          </w:tcPr>
          <w:p w14:paraId="4F505BD3"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2,903</w:t>
            </w:r>
          </w:p>
        </w:tc>
        <w:tc>
          <w:tcPr>
            <w:tcW w:w="463" w:type="pct"/>
            <w:tcBorders>
              <w:bottom w:val="single" w:sz="4" w:space="0" w:color="000000"/>
            </w:tcBorders>
          </w:tcPr>
          <w:p w14:paraId="58DF8A43"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1,091</w:t>
            </w:r>
          </w:p>
        </w:tc>
        <w:tc>
          <w:tcPr>
            <w:tcW w:w="463" w:type="pct"/>
            <w:tcBorders>
              <w:bottom w:val="single" w:sz="4" w:space="0" w:color="000000"/>
            </w:tcBorders>
          </w:tcPr>
          <w:p w14:paraId="12C819AA"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967</w:t>
            </w:r>
          </w:p>
        </w:tc>
        <w:tc>
          <w:tcPr>
            <w:tcW w:w="463" w:type="pct"/>
            <w:tcBorders>
              <w:bottom w:val="single" w:sz="4" w:space="0" w:color="000000"/>
            </w:tcBorders>
          </w:tcPr>
          <w:p w14:paraId="218D42C3"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1,083</w:t>
            </w:r>
          </w:p>
        </w:tc>
        <w:tc>
          <w:tcPr>
            <w:tcW w:w="463" w:type="pct"/>
            <w:tcBorders>
              <w:bottom w:val="single" w:sz="4" w:space="0" w:color="000000"/>
            </w:tcBorders>
          </w:tcPr>
          <w:p w14:paraId="4346E890"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957</w:t>
            </w:r>
          </w:p>
        </w:tc>
        <w:tc>
          <w:tcPr>
            <w:tcW w:w="463" w:type="pct"/>
            <w:tcBorders>
              <w:bottom w:val="single" w:sz="4" w:space="0" w:color="000000"/>
            </w:tcBorders>
          </w:tcPr>
          <w:p w14:paraId="1254BF39"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1,215</w:t>
            </w:r>
          </w:p>
        </w:tc>
        <w:tc>
          <w:tcPr>
            <w:tcW w:w="463" w:type="pct"/>
            <w:tcBorders>
              <w:bottom w:val="single" w:sz="4" w:space="0" w:color="000000"/>
            </w:tcBorders>
          </w:tcPr>
          <w:p w14:paraId="58389831"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1,241</w:t>
            </w:r>
          </w:p>
        </w:tc>
        <w:tc>
          <w:tcPr>
            <w:tcW w:w="387" w:type="pct"/>
            <w:tcBorders>
              <w:bottom w:val="single" w:sz="4" w:space="0" w:color="000000"/>
            </w:tcBorders>
          </w:tcPr>
          <w:p w14:paraId="0E336945"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1,496</w:t>
            </w:r>
          </w:p>
        </w:tc>
        <w:tc>
          <w:tcPr>
            <w:tcW w:w="442" w:type="pct"/>
            <w:tcBorders>
              <w:bottom w:val="single" w:sz="4" w:space="0" w:color="000000"/>
            </w:tcBorders>
          </w:tcPr>
          <w:p w14:paraId="655A2AE5"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54.66</w:t>
            </w:r>
          </w:p>
        </w:tc>
      </w:tr>
      <w:tr w:rsidR="00DF0B57" w:rsidRPr="00DF0B57" w14:paraId="7C29669B" w14:textId="77777777" w:rsidTr="00DF0B57">
        <w:trPr>
          <w:trHeight w:val="288"/>
        </w:trPr>
        <w:tc>
          <w:tcPr>
            <w:cnfStyle w:val="001000000000" w:firstRow="0" w:lastRow="0" w:firstColumn="1" w:lastColumn="0" w:oddVBand="0" w:evenVBand="0" w:oddHBand="0" w:evenHBand="0" w:firstRowFirstColumn="0" w:firstRowLastColumn="0" w:lastRowFirstColumn="0" w:lastRowLastColumn="0"/>
            <w:tcW w:w="603" w:type="pct"/>
            <w:tcBorders>
              <w:top w:val="single" w:sz="4" w:space="0" w:color="000000"/>
              <w:bottom w:val="single" w:sz="4" w:space="0" w:color="000000"/>
            </w:tcBorders>
          </w:tcPr>
          <w:p w14:paraId="7964DAC9" w14:textId="77777777" w:rsidR="009E0FFC" w:rsidRPr="00DF0B57" w:rsidRDefault="006B1808" w:rsidP="001B4B99">
            <w:pPr>
              <w:jc w:val="both"/>
              <w:rPr>
                <w:sz w:val="20"/>
                <w:szCs w:val="20"/>
              </w:rPr>
            </w:pPr>
            <w:r w:rsidRPr="00DF0B57">
              <w:rPr>
                <w:sz w:val="20"/>
                <w:szCs w:val="20"/>
              </w:rPr>
              <w:t>Total estatal</w:t>
            </w:r>
          </w:p>
        </w:tc>
        <w:tc>
          <w:tcPr>
            <w:tcW w:w="330" w:type="pct"/>
            <w:tcBorders>
              <w:top w:val="single" w:sz="4" w:space="0" w:color="000000"/>
              <w:bottom w:val="single" w:sz="4" w:space="0" w:color="000000"/>
            </w:tcBorders>
          </w:tcPr>
          <w:p w14:paraId="2D2A54BF"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472,299</w:t>
            </w:r>
          </w:p>
        </w:tc>
        <w:tc>
          <w:tcPr>
            <w:tcW w:w="463" w:type="pct"/>
            <w:tcBorders>
              <w:top w:val="single" w:sz="4" w:space="0" w:color="000000"/>
              <w:bottom w:val="single" w:sz="4" w:space="0" w:color="000000"/>
            </w:tcBorders>
          </w:tcPr>
          <w:p w14:paraId="4C01E373"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472,041</w:t>
            </w:r>
          </w:p>
        </w:tc>
        <w:tc>
          <w:tcPr>
            <w:tcW w:w="463" w:type="pct"/>
            <w:tcBorders>
              <w:top w:val="single" w:sz="4" w:space="0" w:color="000000"/>
              <w:bottom w:val="single" w:sz="4" w:space="0" w:color="000000"/>
            </w:tcBorders>
          </w:tcPr>
          <w:p w14:paraId="7F7F983A"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424,238</w:t>
            </w:r>
          </w:p>
        </w:tc>
        <w:tc>
          <w:tcPr>
            <w:tcW w:w="463" w:type="pct"/>
            <w:tcBorders>
              <w:top w:val="single" w:sz="4" w:space="0" w:color="000000"/>
              <w:bottom w:val="single" w:sz="4" w:space="0" w:color="000000"/>
            </w:tcBorders>
          </w:tcPr>
          <w:p w14:paraId="5CFFE706"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379,254</w:t>
            </w:r>
          </w:p>
        </w:tc>
        <w:tc>
          <w:tcPr>
            <w:tcW w:w="463" w:type="pct"/>
            <w:tcBorders>
              <w:top w:val="single" w:sz="4" w:space="0" w:color="000000"/>
              <w:bottom w:val="single" w:sz="4" w:space="0" w:color="000000"/>
            </w:tcBorders>
          </w:tcPr>
          <w:p w14:paraId="604EB80E"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358,243</w:t>
            </w:r>
          </w:p>
        </w:tc>
        <w:tc>
          <w:tcPr>
            <w:tcW w:w="463" w:type="pct"/>
            <w:tcBorders>
              <w:top w:val="single" w:sz="4" w:space="0" w:color="000000"/>
              <w:bottom w:val="single" w:sz="4" w:space="0" w:color="000000"/>
            </w:tcBorders>
          </w:tcPr>
          <w:p w14:paraId="46F7D9FC"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358,969</w:t>
            </w:r>
          </w:p>
        </w:tc>
        <w:tc>
          <w:tcPr>
            <w:tcW w:w="463" w:type="pct"/>
            <w:tcBorders>
              <w:top w:val="single" w:sz="4" w:space="0" w:color="000000"/>
              <w:bottom w:val="single" w:sz="4" w:space="0" w:color="000000"/>
            </w:tcBorders>
          </w:tcPr>
          <w:p w14:paraId="2D727DC7"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356,370</w:t>
            </w:r>
          </w:p>
        </w:tc>
        <w:tc>
          <w:tcPr>
            <w:tcW w:w="463" w:type="pct"/>
            <w:tcBorders>
              <w:top w:val="single" w:sz="4" w:space="0" w:color="000000"/>
              <w:bottom w:val="single" w:sz="4" w:space="0" w:color="000000"/>
            </w:tcBorders>
          </w:tcPr>
          <w:p w14:paraId="1C4FFDFB"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356,310</w:t>
            </w:r>
          </w:p>
        </w:tc>
        <w:tc>
          <w:tcPr>
            <w:tcW w:w="387" w:type="pct"/>
            <w:tcBorders>
              <w:top w:val="single" w:sz="4" w:space="0" w:color="000000"/>
              <w:bottom w:val="single" w:sz="4" w:space="0" w:color="000000"/>
            </w:tcBorders>
          </w:tcPr>
          <w:p w14:paraId="43CF52FC"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115,989</w:t>
            </w:r>
          </w:p>
        </w:tc>
        <w:tc>
          <w:tcPr>
            <w:tcW w:w="442" w:type="pct"/>
            <w:tcBorders>
              <w:top w:val="single" w:sz="4" w:space="0" w:color="000000"/>
              <w:bottom w:val="single" w:sz="4" w:space="0" w:color="000000"/>
            </w:tcBorders>
          </w:tcPr>
          <w:p w14:paraId="03AF6E5C"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24.56</w:t>
            </w:r>
          </w:p>
        </w:tc>
      </w:tr>
      <w:tr w:rsidR="00DF0B57" w:rsidRPr="00DF0B57" w14:paraId="5D15F1D3" w14:textId="77777777" w:rsidTr="00DF0B57">
        <w:trPr>
          <w:trHeight w:val="288"/>
        </w:trPr>
        <w:tc>
          <w:tcPr>
            <w:cnfStyle w:val="001000000000" w:firstRow="0" w:lastRow="0" w:firstColumn="1" w:lastColumn="0" w:oddVBand="0" w:evenVBand="0" w:oddHBand="0" w:evenHBand="0" w:firstRowFirstColumn="0" w:firstRowLastColumn="0" w:lastRowFirstColumn="0" w:lastRowLastColumn="0"/>
            <w:tcW w:w="603" w:type="pct"/>
            <w:tcBorders>
              <w:top w:val="single" w:sz="4" w:space="0" w:color="000000"/>
              <w:bottom w:val="nil"/>
            </w:tcBorders>
          </w:tcPr>
          <w:p w14:paraId="5B52486F" w14:textId="77777777" w:rsidR="009E0FFC" w:rsidRPr="00DF0B57" w:rsidRDefault="006B1808" w:rsidP="001B4B99">
            <w:pPr>
              <w:jc w:val="both"/>
              <w:rPr>
                <w:sz w:val="20"/>
                <w:szCs w:val="20"/>
              </w:rPr>
            </w:pPr>
            <w:r w:rsidRPr="00DF0B57">
              <w:rPr>
                <w:sz w:val="20"/>
                <w:szCs w:val="20"/>
              </w:rPr>
              <w:t>Nacional</w:t>
            </w:r>
          </w:p>
        </w:tc>
        <w:tc>
          <w:tcPr>
            <w:tcW w:w="330" w:type="pct"/>
            <w:tcBorders>
              <w:top w:val="single" w:sz="4" w:space="0" w:color="000000"/>
              <w:bottom w:val="nil"/>
            </w:tcBorders>
          </w:tcPr>
          <w:p w14:paraId="7EB1BB8A"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20,490,397</w:t>
            </w:r>
          </w:p>
        </w:tc>
        <w:tc>
          <w:tcPr>
            <w:tcW w:w="463" w:type="pct"/>
            <w:tcBorders>
              <w:top w:val="single" w:sz="4" w:space="0" w:color="000000"/>
              <w:bottom w:val="nil"/>
            </w:tcBorders>
          </w:tcPr>
          <w:p w14:paraId="03748896"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20,613,536</w:t>
            </w:r>
          </w:p>
        </w:tc>
        <w:tc>
          <w:tcPr>
            <w:tcW w:w="463" w:type="pct"/>
            <w:tcBorders>
              <w:top w:val="single" w:sz="4" w:space="0" w:color="000000"/>
              <w:bottom w:val="nil"/>
            </w:tcBorders>
          </w:tcPr>
          <w:p w14:paraId="28A881E4"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20,482,943</w:t>
            </w:r>
          </w:p>
        </w:tc>
        <w:tc>
          <w:tcPr>
            <w:tcW w:w="463" w:type="pct"/>
            <w:tcBorders>
              <w:top w:val="single" w:sz="4" w:space="0" w:color="000000"/>
              <w:bottom w:val="nil"/>
            </w:tcBorders>
          </w:tcPr>
          <w:p w14:paraId="638BBF6C"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19,927,696</w:t>
            </w:r>
          </w:p>
        </w:tc>
        <w:tc>
          <w:tcPr>
            <w:tcW w:w="463" w:type="pct"/>
            <w:tcBorders>
              <w:top w:val="single" w:sz="4" w:space="0" w:color="000000"/>
              <w:bottom w:val="nil"/>
            </w:tcBorders>
          </w:tcPr>
          <w:p w14:paraId="033B89E6"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19,583,170</w:t>
            </w:r>
          </w:p>
        </w:tc>
        <w:tc>
          <w:tcPr>
            <w:tcW w:w="463" w:type="pct"/>
            <w:tcBorders>
              <w:top w:val="single" w:sz="4" w:space="0" w:color="000000"/>
              <w:bottom w:val="nil"/>
            </w:tcBorders>
          </w:tcPr>
          <w:p w14:paraId="1E25F31B"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19,499,859</w:t>
            </w:r>
          </w:p>
        </w:tc>
        <w:tc>
          <w:tcPr>
            <w:tcW w:w="463" w:type="pct"/>
            <w:tcBorders>
              <w:top w:val="single" w:sz="4" w:space="0" w:color="000000"/>
              <w:bottom w:val="nil"/>
            </w:tcBorders>
          </w:tcPr>
          <w:p w14:paraId="30EC0F48"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19,495,952</w:t>
            </w:r>
          </w:p>
        </w:tc>
        <w:tc>
          <w:tcPr>
            <w:tcW w:w="463" w:type="pct"/>
            <w:tcBorders>
              <w:top w:val="single" w:sz="4" w:space="0" w:color="000000"/>
              <w:bottom w:val="nil"/>
            </w:tcBorders>
          </w:tcPr>
          <w:p w14:paraId="6B12F7AC"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19,588,342</w:t>
            </w:r>
          </w:p>
        </w:tc>
        <w:tc>
          <w:tcPr>
            <w:tcW w:w="387" w:type="pct"/>
            <w:tcBorders>
              <w:top w:val="single" w:sz="4" w:space="0" w:color="000000"/>
              <w:bottom w:val="nil"/>
            </w:tcBorders>
          </w:tcPr>
          <w:p w14:paraId="51B47C5E"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902,055</w:t>
            </w:r>
          </w:p>
        </w:tc>
        <w:tc>
          <w:tcPr>
            <w:tcW w:w="442" w:type="pct"/>
            <w:tcBorders>
              <w:top w:val="single" w:sz="4" w:space="0" w:color="000000"/>
              <w:bottom w:val="nil"/>
            </w:tcBorders>
          </w:tcPr>
          <w:p w14:paraId="1413F7CB"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sz w:val="20"/>
                <w:szCs w:val="20"/>
              </w:rPr>
            </w:pPr>
            <w:r w:rsidRPr="00DF0B57">
              <w:rPr>
                <w:sz w:val="20"/>
                <w:szCs w:val="20"/>
              </w:rPr>
              <w:t>4.40</w:t>
            </w:r>
          </w:p>
        </w:tc>
      </w:tr>
      <w:tr w:rsidR="00DF0B57" w:rsidRPr="00DF0B57" w14:paraId="4D816777" w14:textId="77777777" w:rsidTr="00DF0B57">
        <w:trPr>
          <w:trHeight w:val="288"/>
        </w:trPr>
        <w:tc>
          <w:tcPr>
            <w:cnfStyle w:val="001000000000" w:firstRow="0" w:lastRow="0" w:firstColumn="1" w:lastColumn="0" w:oddVBand="0" w:evenVBand="0" w:oddHBand="0" w:evenHBand="0" w:firstRowFirstColumn="0" w:firstRowLastColumn="0" w:lastRowFirstColumn="0" w:lastRowLastColumn="0"/>
            <w:tcW w:w="4171" w:type="pct"/>
            <w:gridSpan w:val="9"/>
            <w:tcBorders>
              <w:top w:val="nil"/>
            </w:tcBorders>
          </w:tcPr>
          <w:p w14:paraId="2DEB05A5" w14:textId="77777777" w:rsidR="009E0FFC" w:rsidRPr="00DF0B57" w:rsidRDefault="009E0FFC" w:rsidP="001B4B99">
            <w:pPr>
              <w:jc w:val="both"/>
              <w:rPr>
                <w:sz w:val="20"/>
                <w:szCs w:val="20"/>
              </w:rPr>
            </w:pPr>
          </w:p>
        </w:tc>
        <w:tc>
          <w:tcPr>
            <w:tcW w:w="387" w:type="pct"/>
            <w:tcBorders>
              <w:top w:val="nil"/>
            </w:tcBorders>
          </w:tcPr>
          <w:p w14:paraId="2C444430" w14:textId="77777777" w:rsidR="009E0FFC" w:rsidRPr="00DF0B57" w:rsidRDefault="009E0FFC" w:rsidP="001B4B99">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442" w:type="pct"/>
            <w:tcBorders>
              <w:top w:val="nil"/>
            </w:tcBorders>
          </w:tcPr>
          <w:p w14:paraId="51F8B696" w14:textId="77777777" w:rsidR="009E0FFC" w:rsidRPr="00DF0B57" w:rsidRDefault="009E0FFC" w:rsidP="001B4B99">
            <w:pPr>
              <w:jc w:val="both"/>
              <w:cnfStyle w:val="000000000000" w:firstRow="0" w:lastRow="0" w:firstColumn="0" w:lastColumn="0" w:oddVBand="0" w:evenVBand="0" w:oddHBand="0" w:evenHBand="0" w:firstRowFirstColumn="0" w:firstRowLastColumn="0" w:lastRowFirstColumn="0" w:lastRowLastColumn="0"/>
              <w:rPr>
                <w:sz w:val="20"/>
                <w:szCs w:val="20"/>
              </w:rPr>
            </w:pPr>
          </w:p>
        </w:tc>
      </w:tr>
    </w:tbl>
    <w:p w14:paraId="786B2B4D" w14:textId="34FC2B78" w:rsidR="009E0FFC" w:rsidRPr="00DF0B57" w:rsidRDefault="006B1808" w:rsidP="001B4B99">
      <w:pPr>
        <w:spacing w:line="240" w:lineRule="auto"/>
        <w:jc w:val="both"/>
        <w:rPr>
          <w:rFonts w:ascii="Times New Roman" w:eastAsia="Times New Roman" w:hAnsi="Times New Roman" w:cs="Times New Roman"/>
          <w:sz w:val="24"/>
          <w:szCs w:val="24"/>
        </w:rPr>
      </w:pPr>
      <w:r w:rsidRPr="009417B0">
        <w:rPr>
          <w:rFonts w:ascii="Times New Roman" w:eastAsia="Times New Roman" w:hAnsi="Times New Roman" w:cs="Times New Roman"/>
          <w:b/>
          <w:bCs/>
          <w:sz w:val="24"/>
          <w:szCs w:val="24"/>
        </w:rPr>
        <w:t>Fuente:</w:t>
      </w:r>
      <w:r w:rsidRPr="00DF0B57">
        <w:rPr>
          <w:rFonts w:ascii="Times New Roman" w:eastAsia="Times New Roman" w:hAnsi="Times New Roman" w:cs="Times New Roman"/>
          <w:sz w:val="24"/>
          <w:szCs w:val="24"/>
        </w:rPr>
        <w:t xml:space="preserve"> </w:t>
      </w:r>
      <w:r w:rsidR="009417B0">
        <w:rPr>
          <w:rFonts w:ascii="Times New Roman" w:eastAsia="Times New Roman" w:hAnsi="Times New Roman" w:cs="Times New Roman"/>
          <w:sz w:val="24"/>
          <w:szCs w:val="24"/>
        </w:rPr>
        <w:t>E</w:t>
      </w:r>
      <w:r w:rsidRPr="00DF0B57">
        <w:rPr>
          <w:rFonts w:ascii="Times New Roman" w:eastAsia="Times New Roman" w:hAnsi="Times New Roman" w:cs="Times New Roman"/>
          <w:sz w:val="24"/>
          <w:szCs w:val="24"/>
        </w:rPr>
        <w:t>laboración propia con datos- recursos abiertos del Instituto Mexicano del Seguro Social (IMSS, 2020).</w:t>
      </w:r>
    </w:p>
    <w:p w14:paraId="54DC71DC" w14:textId="77777777" w:rsidR="009E0FFC" w:rsidRPr="00DF0B57" w:rsidRDefault="006B1808" w:rsidP="001B4B99">
      <w:pPr>
        <w:spacing w:line="240" w:lineRule="auto"/>
        <w:jc w:val="both"/>
        <w:rPr>
          <w:rFonts w:ascii="Times New Roman" w:eastAsia="Times New Roman" w:hAnsi="Times New Roman" w:cs="Times New Roman"/>
          <w:b/>
          <w:sz w:val="24"/>
          <w:szCs w:val="24"/>
        </w:rPr>
      </w:pPr>
      <w:r w:rsidRPr="00DF0B57">
        <w:rPr>
          <w:rFonts w:ascii="Times New Roman" w:eastAsia="Times New Roman" w:hAnsi="Times New Roman" w:cs="Times New Roman"/>
          <w:sz w:val="24"/>
          <w:szCs w:val="24"/>
        </w:rPr>
        <w:t>En cuanto al perfil del encuestado</w:t>
      </w:r>
      <w:r w:rsidRPr="00DF0B57">
        <w:rPr>
          <w:rFonts w:ascii="Times New Roman" w:eastAsia="Times New Roman" w:hAnsi="Times New Roman" w:cs="Times New Roman"/>
          <w:b/>
          <w:sz w:val="24"/>
          <w:szCs w:val="24"/>
        </w:rPr>
        <w:t xml:space="preserve"> </w:t>
      </w:r>
      <w:r w:rsidRPr="00DF0B57">
        <w:rPr>
          <w:rFonts w:ascii="Times New Roman" w:eastAsia="Times New Roman" w:hAnsi="Times New Roman" w:cs="Times New Roman"/>
          <w:sz w:val="24"/>
          <w:szCs w:val="24"/>
        </w:rPr>
        <w:t>las respuestas se obtuvieron de 54 personas de género femenino (15.2%) de 26 a 35 años y 53 que representa un (14.9%) fueron de género masculino. En segundo lugar, los individuos de entre 18 a 25 años, 51 de género femenino (14.3%) y 47 de género masculino (13.2%), y el tercer lugar lo ocuparon las personas de entre 36 a 45 años, 44 mujeres (12.4%) y 49 de género masculino (13.8%) Ver tabla 3</w:t>
      </w:r>
      <w:r w:rsidRPr="00DF0B57">
        <w:rPr>
          <w:rFonts w:ascii="Times New Roman" w:eastAsia="Times New Roman" w:hAnsi="Times New Roman" w:cs="Times New Roman"/>
          <w:b/>
          <w:sz w:val="24"/>
          <w:szCs w:val="24"/>
        </w:rPr>
        <w:t>.</w:t>
      </w:r>
    </w:p>
    <w:p w14:paraId="2808DC97" w14:textId="77777777" w:rsidR="009E0FFC" w:rsidRPr="00DF0B57" w:rsidRDefault="006B1808" w:rsidP="001B4B99">
      <w:pPr>
        <w:spacing w:line="240" w:lineRule="auto"/>
        <w:ind w:firstLine="720"/>
        <w:jc w:val="both"/>
        <w:rPr>
          <w:rFonts w:ascii="Times New Roman" w:eastAsia="Times New Roman" w:hAnsi="Times New Roman" w:cs="Times New Roman"/>
          <w:b/>
          <w:sz w:val="24"/>
          <w:szCs w:val="24"/>
        </w:rPr>
      </w:pPr>
      <w:r w:rsidRPr="00DF0B57">
        <w:rPr>
          <w:rFonts w:ascii="Times New Roman" w:eastAsia="Times New Roman" w:hAnsi="Times New Roman" w:cs="Times New Roman"/>
          <w:b/>
          <w:sz w:val="24"/>
          <w:szCs w:val="24"/>
        </w:rPr>
        <w:t>Tabla 3</w:t>
      </w:r>
      <w:r w:rsidRPr="00DF0B57">
        <w:rPr>
          <w:rFonts w:ascii="Times New Roman" w:eastAsia="Times New Roman" w:hAnsi="Times New Roman" w:cs="Times New Roman"/>
          <w:b/>
          <w:sz w:val="24"/>
          <w:szCs w:val="24"/>
        </w:rPr>
        <w:tab/>
      </w:r>
    </w:p>
    <w:p w14:paraId="77035442" w14:textId="77777777" w:rsidR="009E0FFC" w:rsidRPr="00DF0B57" w:rsidRDefault="006B1808" w:rsidP="001B4B99">
      <w:pPr>
        <w:spacing w:line="240" w:lineRule="auto"/>
        <w:ind w:firstLine="720"/>
        <w:jc w:val="both"/>
        <w:rPr>
          <w:rFonts w:ascii="Times New Roman" w:eastAsia="Times New Roman" w:hAnsi="Times New Roman" w:cs="Times New Roman"/>
          <w:b/>
          <w:sz w:val="24"/>
          <w:szCs w:val="24"/>
        </w:rPr>
      </w:pPr>
      <w:r w:rsidRPr="00DF0B57">
        <w:rPr>
          <w:rFonts w:ascii="Times New Roman" w:eastAsia="Times New Roman" w:hAnsi="Times New Roman" w:cs="Times New Roman"/>
          <w:sz w:val="24"/>
          <w:szCs w:val="24"/>
        </w:rPr>
        <w:t>Rango de Edad y Género del Encuestado</w:t>
      </w:r>
    </w:p>
    <w:tbl>
      <w:tblPr>
        <w:tblStyle w:val="4"/>
        <w:tblW w:w="7945" w:type="dxa"/>
        <w:jc w:val="center"/>
        <w:tblInd w:w="0" w:type="dxa"/>
        <w:tblBorders>
          <w:bottom w:val="single" w:sz="4" w:space="0" w:color="000000"/>
        </w:tblBorders>
        <w:tblLayout w:type="fixed"/>
        <w:tblLook w:val="04A0" w:firstRow="1" w:lastRow="0" w:firstColumn="1" w:lastColumn="0" w:noHBand="0" w:noVBand="1"/>
      </w:tblPr>
      <w:tblGrid>
        <w:gridCol w:w="1589"/>
        <w:gridCol w:w="1589"/>
        <w:gridCol w:w="1589"/>
        <w:gridCol w:w="1589"/>
        <w:gridCol w:w="1589"/>
      </w:tblGrid>
      <w:tr w:rsidR="00DF0B57" w:rsidRPr="00DF0B57" w14:paraId="57AEDD6A" w14:textId="77777777" w:rsidTr="009E0FFC">
        <w:trPr>
          <w:cnfStyle w:val="100000000000" w:firstRow="1" w:lastRow="0" w:firstColumn="0" w:lastColumn="0" w:oddVBand="0" w:evenVBand="0" w:oddHBand="0"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589" w:type="dxa"/>
          </w:tcPr>
          <w:p w14:paraId="55C46C26" w14:textId="77777777" w:rsidR="009E0FFC" w:rsidRPr="00DF0B57" w:rsidRDefault="006B1808" w:rsidP="001B4B99">
            <w:pPr>
              <w:jc w:val="both"/>
              <w:rPr>
                <w:b/>
              </w:rPr>
            </w:pPr>
            <w:r w:rsidRPr="00DF0B57">
              <w:rPr>
                <w:b/>
              </w:rPr>
              <w:t>Rango-edad</w:t>
            </w:r>
          </w:p>
        </w:tc>
        <w:tc>
          <w:tcPr>
            <w:tcW w:w="1589" w:type="dxa"/>
          </w:tcPr>
          <w:p w14:paraId="6B75D787" w14:textId="77777777" w:rsidR="009E0FFC" w:rsidRPr="00DF0B57" w:rsidRDefault="006B1808" w:rsidP="001B4B99">
            <w:pPr>
              <w:jc w:val="both"/>
              <w:cnfStyle w:val="100000000000" w:firstRow="1" w:lastRow="0" w:firstColumn="0" w:lastColumn="0" w:oddVBand="0" w:evenVBand="0" w:oddHBand="0" w:evenHBand="0" w:firstRowFirstColumn="0" w:firstRowLastColumn="0" w:lastRowFirstColumn="0" w:lastRowLastColumn="0"/>
              <w:rPr>
                <w:b/>
              </w:rPr>
            </w:pPr>
            <w:r w:rsidRPr="00DF0B57">
              <w:rPr>
                <w:b/>
              </w:rPr>
              <w:t>Femenino</w:t>
            </w:r>
          </w:p>
        </w:tc>
        <w:tc>
          <w:tcPr>
            <w:tcW w:w="1589" w:type="dxa"/>
          </w:tcPr>
          <w:p w14:paraId="22DA3B33" w14:textId="77777777" w:rsidR="009E0FFC" w:rsidRPr="00DF0B57" w:rsidRDefault="006B1808" w:rsidP="001B4B99">
            <w:pPr>
              <w:jc w:val="both"/>
              <w:cnfStyle w:val="100000000000" w:firstRow="1" w:lastRow="0" w:firstColumn="0" w:lastColumn="0" w:oddVBand="0" w:evenVBand="0" w:oddHBand="0" w:evenHBand="0" w:firstRowFirstColumn="0" w:firstRowLastColumn="0" w:lastRowFirstColumn="0" w:lastRowLastColumn="0"/>
              <w:rPr>
                <w:b/>
              </w:rPr>
            </w:pPr>
            <w:r w:rsidRPr="00DF0B57">
              <w:rPr>
                <w:b/>
              </w:rPr>
              <w:t>Masculino</w:t>
            </w:r>
          </w:p>
        </w:tc>
        <w:tc>
          <w:tcPr>
            <w:tcW w:w="1589" w:type="dxa"/>
          </w:tcPr>
          <w:p w14:paraId="291DCF66" w14:textId="77777777" w:rsidR="009E0FFC" w:rsidRPr="00DF0B57" w:rsidRDefault="006B1808" w:rsidP="001B4B99">
            <w:pPr>
              <w:jc w:val="both"/>
              <w:cnfStyle w:val="100000000000" w:firstRow="1" w:lastRow="0" w:firstColumn="0" w:lastColumn="0" w:oddVBand="0" w:evenVBand="0" w:oddHBand="0" w:evenHBand="0" w:firstRowFirstColumn="0" w:firstRowLastColumn="0" w:lastRowFirstColumn="0" w:lastRowLastColumn="0"/>
              <w:rPr>
                <w:b/>
              </w:rPr>
            </w:pPr>
            <w:r w:rsidRPr="00DF0B57">
              <w:rPr>
                <w:b/>
              </w:rPr>
              <w:t>No binario</w:t>
            </w:r>
          </w:p>
        </w:tc>
        <w:tc>
          <w:tcPr>
            <w:tcW w:w="1589" w:type="dxa"/>
          </w:tcPr>
          <w:p w14:paraId="77AA348C" w14:textId="77777777" w:rsidR="009E0FFC" w:rsidRPr="00DF0B57" w:rsidRDefault="006B1808" w:rsidP="001B4B99">
            <w:pPr>
              <w:jc w:val="both"/>
              <w:cnfStyle w:val="100000000000" w:firstRow="1" w:lastRow="0" w:firstColumn="0" w:lastColumn="0" w:oddVBand="0" w:evenVBand="0" w:oddHBand="0" w:evenHBand="0" w:firstRowFirstColumn="0" w:firstRowLastColumn="0" w:lastRowFirstColumn="0" w:lastRowLastColumn="0"/>
              <w:rPr>
                <w:b/>
              </w:rPr>
            </w:pPr>
            <w:r w:rsidRPr="00DF0B57">
              <w:rPr>
                <w:b/>
              </w:rPr>
              <w:t>Total</w:t>
            </w:r>
          </w:p>
        </w:tc>
      </w:tr>
      <w:tr w:rsidR="00DF0B57" w:rsidRPr="00DF0B57" w14:paraId="29119065" w14:textId="77777777" w:rsidTr="009E0FFC">
        <w:trPr>
          <w:trHeight w:val="295"/>
          <w:jc w:val="center"/>
        </w:trPr>
        <w:tc>
          <w:tcPr>
            <w:cnfStyle w:val="001000000000" w:firstRow="0" w:lastRow="0" w:firstColumn="1" w:lastColumn="0" w:oddVBand="0" w:evenVBand="0" w:oddHBand="0" w:evenHBand="0" w:firstRowFirstColumn="0" w:firstRowLastColumn="0" w:lastRowFirstColumn="0" w:lastRowLastColumn="0"/>
            <w:tcW w:w="1589" w:type="dxa"/>
            <w:vMerge w:val="restart"/>
          </w:tcPr>
          <w:p w14:paraId="6A70FD67" w14:textId="77777777" w:rsidR="009E0FFC" w:rsidRPr="00DF0B57" w:rsidRDefault="006B1808" w:rsidP="001B4B99">
            <w:pPr>
              <w:jc w:val="both"/>
              <w:rPr>
                <w:b/>
              </w:rPr>
            </w:pPr>
            <w:r w:rsidRPr="00DF0B57">
              <w:rPr>
                <w:b/>
              </w:rPr>
              <w:t>18-25</w:t>
            </w:r>
          </w:p>
        </w:tc>
        <w:tc>
          <w:tcPr>
            <w:tcW w:w="1589" w:type="dxa"/>
          </w:tcPr>
          <w:p w14:paraId="0BB646B7"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b/>
              </w:rPr>
            </w:pPr>
            <w:r w:rsidRPr="00DF0B57">
              <w:rPr>
                <w:b/>
              </w:rPr>
              <w:t>51</w:t>
            </w:r>
          </w:p>
        </w:tc>
        <w:tc>
          <w:tcPr>
            <w:tcW w:w="1589" w:type="dxa"/>
          </w:tcPr>
          <w:p w14:paraId="6AC39C57"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b/>
              </w:rPr>
            </w:pPr>
            <w:r w:rsidRPr="00DF0B57">
              <w:rPr>
                <w:b/>
              </w:rPr>
              <w:t>47</w:t>
            </w:r>
          </w:p>
        </w:tc>
        <w:tc>
          <w:tcPr>
            <w:tcW w:w="1589" w:type="dxa"/>
          </w:tcPr>
          <w:p w14:paraId="6D51A8D8" w14:textId="77777777" w:rsidR="009E0FFC" w:rsidRPr="00DF0B57" w:rsidRDefault="009E0FFC" w:rsidP="001B4B99">
            <w:pPr>
              <w:jc w:val="both"/>
              <w:cnfStyle w:val="000000000000" w:firstRow="0" w:lastRow="0" w:firstColumn="0" w:lastColumn="0" w:oddVBand="0" w:evenVBand="0" w:oddHBand="0" w:evenHBand="0" w:firstRowFirstColumn="0" w:firstRowLastColumn="0" w:lastRowFirstColumn="0" w:lastRowLastColumn="0"/>
              <w:rPr>
                <w:b/>
              </w:rPr>
            </w:pPr>
          </w:p>
        </w:tc>
        <w:tc>
          <w:tcPr>
            <w:tcW w:w="1589" w:type="dxa"/>
          </w:tcPr>
          <w:p w14:paraId="70C74E3E"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b/>
              </w:rPr>
            </w:pPr>
            <w:r w:rsidRPr="00DF0B57">
              <w:rPr>
                <w:b/>
              </w:rPr>
              <w:t>98</w:t>
            </w:r>
          </w:p>
        </w:tc>
      </w:tr>
      <w:tr w:rsidR="00DF0B57" w:rsidRPr="00DF0B57" w14:paraId="327F7BA6" w14:textId="77777777" w:rsidTr="009E0FFC">
        <w:trPr>
          <w:trHeight w:val="310"/>
          <w:jc w:val="center"/>
        </w:trPr>
        <w:tc>
          <w:tcPr>
            <w:cnfStyle w:val="001000000000" w:firstRow="0" w:lastRow="0" w:firstColumn="1" w:lastColumn="0" w:oddVBand="0" w:evenVBand="0" w:oddHBand="0" w:evenHBand="0" w:firstRowFirstColumn="0" w:firstRowLastColumn="0" w:lastRowFirstColumn="0" w:lastRowLastColumn="0"/>
            <w:tcW w:w="1589" w:type="dxa"/>
            <w:vMerge/>
          </w:tcPr>
          <w:p w14:paraId="21DD2D83" w14:textId="77777777" w:rsidR="009E0FFC" w:rsidRPr="00DF0B57" w:rsidRDefault="009E0FFC" w:rsidP="001B4B99">
            <w:pPr>
              <w:widowControl w:val="0"/>
              <w:pBdr>
                <w:top w:val="nil"/>
                <w:left w:val="nil"/>
                <w:bottom w:val="nil"/>
                <w:right w:val="nil"/>
                <w:between w:val="nil"/>
              </w:pBdr>
              <w:jc w:val="both"/>
              <w:rPr>
                <w:b/>
              </w:rPr>
            </w:pPr>
          </w:p>
        </w:tc>
        <w:tc>
          <w:tcPr>
            <w:tcW w:w="1589" w:type="dxa"/>
          </w:tcPr>
          <w:p w14:paraId="3D27C49F"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14.3%</w:t>
            </w:r>
          </w:p>
        </w:tc>
        <w:tc>
          <w:tcPr>
            <w:tcW w:w="1589" w:type="dxa"/>
          </w:tcPr>
          <w:p w14:paraId="39AECCEC"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13.2%</w:t>
            </w:r>
          </w:p>
        </w:tc>
        <w:tc>
          <w:tcPr>
            <w:tcW w:w="1589" w:type="dxa"/>
          </w:tcPr>
          <w:p w14:paraId="01F84651" w14:textId="77777777" w:rsidR="009E0FFC" w:rsidRPr="00DF0B57" w:rsidRDefault="009E0FFC" w:rsidP="001B4B99">
            <w:pPr>
              <w:jc w:val="both"/>
              <w:cnfStyle w:val="000000000000" w:firstRow="0" w:lastRow="0" w:firstColumn="0" w:lastColumn="0" w:oddVBand="0" w:evenVBand="0" w:oddHBand="0" w:evenHBand="0" w:firstRowFirstColumn="0" w:firstRowLastColumn="0" w:lastRowFirstColumn="0" w:lastRowLastColumn="0"/>
            </w:pPr>
          </w:p>
        </w:tc>
        <w:tc>
          <w:tcPr>
            <w:tcW w:w="1589" w:type="dxa"/>
          </w:tcPr>
          <w:p w14:paraId="2CAE36F7"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27.5%</w:t>
            </w:r>
          </w:p>
        </w:tc>
      </w:tr>
      <w:tr w:rsidR="00DF0B57" w:rsidRPr="00DF0B57" w14:paraId="073DB5F0" w14:textId="77777777" w:rsidTr="009E0FFC">
        <w:trPr>
          <w:trHeight w:val="295"/>
          <w:jc w:val="center"/>
        </w:trPr>
        <w:tc>
          <w:tcPr>
            <w:cnfStyle w:val="001000000000" w:firstRow="0" w:lastRow="0" w:firstColumn="1" w:lastColumn="0" w:oddVBand="0" w:evenVBand="0" w:oddHBand="0" w:evenHBand="0" w:firstRowFirstColumn="0" w:firstRowLastColumn="0" w:lastRowFirstColumn="0" w:lastRowLastColumn="0"/>
            <w:tcW w:w="1589" w:type="dxa"/>
            <w:vMerge w:val="restart"/>
          </w:tcPr>
          <w:p w14:paraId="5FB75895" w14:textId="77777777" w:rsidR="009E0FFC" w:rsidRPr="00DF0B57" w:rsidRDefault="006B1808" w:rsidP="001B4B99">
            <w:pPr>
              <w:jc w:val="both"/>
              <w:rPr>
                <w:b/>
              </w:rPr>
            </w:pPr>
            <w:r w:rsidRPr="00DF0B57">
              <w:rPr>
                <w:b/>
              </w:rPr>
              <w:t>26-35</w:t>
            </w:r>
          </w:p>
        </w:tc>
        <w:tc>
          <w:tcPr>
            <w:tcW w:w="1589" w:type="dxa"/>
          </w:tcPr>
          <w:p w14:paraId="17CE3EB2"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b/>
              </w:rPr>
            </w:pPr>
            <w:r w:rsidRPr="00DF0B57">
              <w:rPr>
                <w:b/>
              </w:rPr>
              <w:t>54</w:t>
            </w:r>
          </w:p>
        </w:tc>
        <w:tc>
          <w:tcPr>
            <w:tcW w:w="1589" w:type="dxa"/>
          </w:tcPr>
          <w:p w14:paraId="5E480216"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b/>
              </w:rPr>
            </w:pPr>
            <w:r w:rsidRPr="00DF0B57">
              <w:rPr>
                <w:b/>
              </w:rPr>
              <w:t>53</w:t>
            </w:r>
          </w:p>
        </w:tc>
        <w:tc>
          <w:tcPr>
            <w:tcW w:w="1589" w:type="dxa"/>
          </w:tcPr>
          <w:p w14:paraId="0B84F484"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b/>
              </w:rPr>
            </w:pPr>
            <w:r w:rsidRPr="00DF0B57">
              <w:rPr>
                <w:b/>
              </w:rPr>
              <w:t>1</w:t>
            </w:r>
          </w:p>
        </w:tc>
        <w:tc>
          <w:tcPr>
            <w:tcW w:w="1589" w:type="dxa"/>
          </w:tcPr>
          <w:p w14:paraId="06A51C5C"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b/>
              </w:rPr>
            </w:pPr>
            <w:r w:rsidRPr="00DF0B57">
              <w:rPr>
                <w:b/>
              </w:rPr>
              <w:t>108</w:t>
            </w:r>
          </w:p>
        </w:tc>
      </w:tr>
      <w:tr w:rsidR="00DF0B57" w:rsidRPr="00DF0B57" w14:paraId="2BD3E8C1" w14:textId="77777777" w:rsidTr="009E0FFC">
        <w:trPr>
          <w:trHeight w:val="310"/>
          <w:jc w:val="center"/>
        </w:trPr>
        <w:tc>
          <w:tcPr>
            <w:cnfStyle w:val="001000000000" w:firstRow="0" w:lastRow="0" w:firstColumn="1" w:lastColumn="0" w:oddVBand="0" w:evenVBand="0" w:oddHBand="0" w:evenHBand="0" w:firstRowFirstColumn="0" w:firstRowLastColumn="0" w:lastRowFirstColumn="0" w:lastRowLastColumn="0"/>
            <w:tcW w:w="1589" w:type="dxa"/>
            <w:vMerge/>
          </w:tcPr>
          <w:p w14:paraId="65797AB9" w14:textId="77777777" w:rsidR="009E0FFC" w:rsidRPr="00DF0B57" w:rsidRDefault="009E0FFC" w:rsidP="001B4B99">
            <w:pPr>
              <w:widowControl w:val="0"/>
              <w:pBdr>
                <w:top w:val="nil"/>
                <w:left w:val="nil"/>
                <w:bottom w:val="nil"/>
                <w:right w:val="nil"/>
                <w:between w:val="nil"/>
              </w:pBdr>
              <w:jc w:val="both"/>
              <w:rPr>
                <w:b/>
              </w:rPr>
            </w:pPr>
          </w:p>
        </w:tc>
        <w:tc>
          <w:tcPr>
            <w:tcW w:w="1589" w:type="dxa"/>
          </w:tcPr>
          <w:p w14:paraId="0065F070"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15.2%</w:t>
            </w:r>
          </w:p>
        </w:tc>
        <w:tc>
          <w:tcPr>
            <w:tcW w:w="1589" w:type="dxa"/>
          </w:tcPr>
          <w:p w14:paraId="61C5BB5F"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14.9%</w:t>
            </w:r>
          </w:p>
        </w:tc>
        <w:tc>
          <w:tcPr>
            <w:tcW w:w="1589" w:type="dxa"/>
          </w:tcPr>
          <w:p w14:paraId="79B21EAD" w14:textId="77777777" w:rsidR="009E0FFC" w:rsidRPr="00DF0B57" w:rsidRDefault="009E0FFC" w:rsidP="001B4B99">
            <w:pPr>
              <w:jc w:val="both"/>
              <w:cnfStyle w:val="000000000000" w:firstRow="0" w:lastRow="0" w:firstColumn="0" w:lastColumn="0" w:oddVBand="0" w:evenVBand="0" w:oddHBand="0" w:evenHBand="0" w:firstRowFirstColumn="0" w:firstRowLastColumn="0" w:lastRowFirstColumn="0" w:lastRowLastColumn="0"/>
            </w:pPr>
          </w:p>
        </w:tc>
        <w:tc>
          <w:tcPr>
            <w:tcW w:w="1589" w:type="dxa"/>
          </w:tcPr>
          <w:p w14:paraId="414FC20B"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30.3%</w:t>
            </w:r>
          </w:p>
        </w:tc>
      </w:tr>
      <w:tr w:rsidR="00DF0B57" w:rsidRPr="00DF0B57" w14:paraId="67837B21" w14:textId="77777777" w:rsidTr="009E0FFC">
        <w:trPr>
          <w:trHeight w:val="295"/>
          <w:jc w:val="center"/>
        </w:trPr>
        <w:tc>
          <w:tcPr>
            <w:cnfStyle w:val="001000000000" w:firstRow="0" w:lastRow="0" w:firstColumn="1" w:lastColumn="0" w:oddVBand="0" w:evenVBand="0" w:oddHBand="0" w:evenHBand="0" w:firstRowFirstColumn="0" w:firstRowLastColumn="0" w:lastRowFirstColumn="0" w:lastRowLastColumn="0"/>
            <w:tcW w:w="1589" w:type="dxa"/>
            <w:vMerge w:val="restart"/>
          </w:tcPr>
          <w:p w14:paraId="7B94F5E6" w14:textId="77777777" w:rsidR="009E0FFC" w:rsidRPr="00DF0B57" w:rsidRDefault="006B1808" w:rsidP="001B4B99">
            <w:pPr>
              <w:jc w:val="both"/>
              <w:rPr>
                <w:b/>
              </w:rPr>
            </w:pPr>
            <w:r w:rsidRPr="00DF0B57">
              <w:rPr>
                <w:b/>
              </w:rPr>
              <w:t>36-45</w:t>
            </w:r>
          </w:p>
        </w:tc>
        <w:tc>
          <w:tcPr>
            <w:tcW w:w="1589" w:type="dxa"/>
          </w:tcPr>
          <w:p w14:paraId="1CAA64D4"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b/>
              </w:rPr>
            </w:pPr>
            <w:r w:rsidRPr="00DF0B57">
              <w:rPr>
                <w:b/>
              </w:rPr>
              <w:t>44</w:t>
            </w:r>
          </w:p>
        </w:tc>
        <w:tc>
          <w:tcPr>
            <w:tcW w:w="1589" w:type="dxa"/>
          </w:tcPr>
          <w:p w14:paraId="4FEADEA0"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b/>
              </w:rPr>
            </w:pPr>
            <w:r w:rsidRPr="00DF0B57">
              <w:rPr>
                <w:b/>
              </w:rPr>
              <w:t>49</w:t>
            </w:r>
          </w:p>
        </w:tc>
        <w:tc>
          <w:tcPr>
            <w:tcW w:w="1589" w:type="dxa"/>
          </w:tcPr>
          <w:p w14:paraId="006B7027" w14:textId="77777777" w:rsidR="009E0FFC" w:rsidRPr="00DF0B57" w:rsidRDefault="009E0FFC" w:rsidP="001B4B99">
            <w:pPr>
              <w:jc w:val="both"/>
              <w:cnfStyle w:val="000000000000" w:firstRow="0" w:lastRow="0" w:firstColumn="0" w:lastColumn="0" w:oddVBand="0" w:evenVBand="0" w:oddHBand="0" w:evenHBand="0" w:firstRowFirstColumn="0" w:firstRowLastColumn="0" w:lastRowFirstColumn="0" w:lastRowLastColumn="0"/>
              <w:rPr>
                <w:b/>
              </w:rPr>
            </w:pPr>
          </w:p>
        </w:tc>
        <w:tc>
          <w:tcPr>
            <w:tcW w:w="1589" w:type="dxa"/>
          </w:tcPr>
          <w:p w14:paraId="34BA3B58"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b/>
              </w:rPr>
            </w:pPr>
            <w:r w:rsidRPr="00DF0B57">
              <w:rPr>
                <w:b/>
              </w:rPr>
              <w:t>93</w:t>
            </w:r>
          </w:p>
        </w:tc>
      </w:tr>
      <w:tr w:rsidR="00DF0B57" w:rsidRPr="00DF0B57" w14:paraId="2581D313" w14:textId="77777777" w:rsidTr="009E0FFC">
        <w:trPr>
          <w:trHeight w:val="310"/>
          <w:jc w:val="center"/>
        </w:trPr>
        <w:tc>
          <w:tcPr>
            <w:cnfStyle w:val="001000000000" w:firstRow="0" w:lastRow="0" w:firstColumn="1" w:lastColumn="0" w:oddVBand="0" w:evenVBand="0" w:oddHBand="0" w:evenHBand="0" w:firstRowFirstColumn="0" w:firstRowLastColumn="0" w:lastRowFirstColumn="0" w:lastRowLastColumn="0"/>
            <w:tcW w:w="1589" w:type="dxa"/>
            <w:vMerge/>
          </w:tcPr>
          <w:p w14:paraId="3A17965D" w14:textId="77777777" w:rsidR="009E0FFC" w:rsidRPr="00DF0B57" w:rsidRDefault="009E0FFC" w:rsidP="001B4B99">
            <w:pPr>
              <w:widowControl w:val="0"/>
              <w:pBdr>
                <w:top w:val="nil"/>
                <w:left w:val="nil"/>
                <w:bottom w:val="nil"/>
                <w:right w:val="nil"/>
                <w:between w:val="nil"/>
              </w:pBdr>
              <w:jc w:val="both"/>
              <w:rPr>
                <w:b/>
              </w:rPr>
            </w:pPr>
          </w:p>
        </w:tc>
        <w:tc>
          <w:tcPr>
            <w:tcW w:w="1589" w:type="dxa"/>
          </w:tcPr>
          <w:p w14:paraId="35F04933"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12.4%</w:t>
            </w:r>
          </w:p>
        </w:tc>
        <w:tc>
          <w:tcPr>
            <w:tcW w:w="1589" w:type="dxa"/>
          </w:tcPr>
          <w:p w14:paraId="5E34F414"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13.8%</w:t>
            </w:r>
          </w:p>
        </w:tc>
        <w:tc>
          <w:tcPr>
            <w:tcW w:w="1589" w:type="dxa"/>
          </w:tcPr>
          <w:p w14:paraId="30849934" w14:textId="77777777" w:rsidR="009E0FFC" w:rsidRPr="00DF0B57" w:rsidRDefault="009E0FFC" w:rsidP="001B4B99">
            <w:pPr>
              <w:jc w:val="both"/>
              <w:cnfStyle w:val="000000000000" w:firstRow="0" w:lastRow="0" w:firstColumn="0" w:lastColumn="0" w:oddVBand="0" w:evenVBand="0" w:oddHBand="0" w:evenHBand="0" w:firstRowFirstColumn="0" w:firstRowLastColumn="0" w:lastRowFirstColumn="0" w:lastRowLastColumn="0"/>
            </w:pPr>
          </w:p>
        </w:tc>
        <w:tc>
          <w:tcPr>
            <w:tcW w:w="1589" w:type="dxa"/>
          </w:tcPr>
          <w:p w14:paraId="69F635FB"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26.1%</w:t>
            </w:r>
          </w:p>
        </w:tc>
      </w:tr>
      <w:tr w:rsidR="00DF0B57" w:rsidRPr="00DF0B57" w14:paraId="7305F5A4" w14:textId="77777777" w:rsidTr="009E0FFC">
        <w:trPr>
          <w:trHeight w:val="295"/>
          <w:jc w:val="center"/>
        </w:trPr>
        <w:tc>
          <w:tcPr>
            <w:cnfStyle w:val="001000000000" w:firstRow="0" w:lastRow="0" w:firstColumn="1" w:lastColumn="0" w:oddVBand="0" w:evenVBand="0" w:oddHBand="0" w:evenHBand="0" w:firstRowFirstColumn="0" w:firstRowLastColumn="0" w:lastRowFirstColumn="0" w:lastRowLastColumn="0"/>
            <w:tcW w:w="1589" w:type="dxa"/>
            <w:vMerge w:val="restart"/>
          </w:tcPr>
          <w:p w14:paraId="008B412B" w14:textId="77777777" w:rsidR="009E0FFC" w:rsidRPr="00DF0B57" w:rsidRDefault="006B1808" w:rsidP="001B4B99">
            <w:pPr>
              <w:jc w:val="both"/>
              <w:rPr>
                <w:b/>
              </w:rPr>
            </w:pPr>
            <w:r w:rsidRPr="00DF0B57">
              <w:rPr>
                <w:b/>
              </w:rPr>
              <w:t>46-55</w:t>
            </w:r>
          </w:p>
        </w:tc>
        <w:tc>
          <w:tcPr>
            <w:tcW w:w="1589" w:type="dxa"/>
          </w:tcPr>
          <w:p w14:paraId="794FCA1C"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b/>
              </w:rPr>
            </w:pPr>
            <w:r w:rsidRPr="00DF0B57">
              <w:rPr>
                <w:b/>
              </w:rPr>
              <w:t>15</w:t>
            </w:r>
          </w:p>
        </w:tc>
        <w:tc>
          <w:tcPr>
            <w:tcW w:w="1589" w:type="dxa"/>
          </w:tcPr>
          <w:p w14:paraId="05099CEC"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b/>
              </w:rPr>
            </w:pPr>
            <w:r w:rsidRPr="00DF0B57">
              <w:rPr>
                <w:b/>
              </w:rPr>
              <w:t>36</w:t>
            </w:r>
          </w:p>
        </w:tc>
        <w:tc>
          <w:tcPr>
            <w:tcW w:w="1589" w:type="dxa"/>
          </w:tcPr>
          <w:p w14:paraId="5CD5B56B" w14:textId="77777777" w:rsidR="009E0FFC" w:rsidRPr="00DF0B57" w:rsidRDefault="009E0FFC" w:rsidP="001B4B99">
            <w:pPr>
              <w:jc w:val="both"/>
              <w:cnfStyle w:val="000000000000" w:firstRow="0" w:lastRow="0" w:firstColumn="0" w:lastColumn="0" w:oddVBand="0" w:evenVBand="0" w:oddHBand="0" w:evenHBand="0" w:firstRowFirstColumn="0" w:firstRowLastColumn="0" w:lastRowFirstColumn="0" w:lastRowLastColumn="0"/>
              <w:rPr>
                <w:b/>
              </w:rPr>
            </w:pPr>
          </w:p>
        </w:tc>
        <w:tc>
          <w:tcPr>
            <w:tcW w:w="1589" w:type="dxa"/>
          </w:tcPr>
          <w:p w14:paraId="0D9D9FBE"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b/>
              </w:rPr>
            </w:pPr>
            <w:r w:rsidRPr="00DF0B57">
              <w:rPr>
                <w:b/>
              </w:rPr>
              <w:t>51</w:t>
            </w:r>
          </w:p>
        </w:tc>
      </w:tr>
      <w:tr w:rsidR="00DF0B57" w:rsidRPr="00DF0B57" w14:paraId="1424F86A" w14:textId="77777777" w:rsidTr="009E0FFC">
        <w:trPr>
          <w:trHeight w:val="310"/>
          <w:jc w:val="center"/>
        </w:trPr>
        <w:tc>
          <w:tcPr>
            <w:cnfStyle w:val="001000000000" w:firstRow="0" w:lastRow="0" w:firstColumn="1" w:lastColumn="0" w:oddVBand="0" w:evenVBand="0" w:oddHBand="0" w:evenHBand="0" w:firstRowFirstColumn="0" w:firstRowLastColumn="0" w:lastRowFirstColumn="0" w:lastRowLastColumn="0"/>
            <w:tcW w:w="1589" w:type="dxa"/>
            <w:vMerge/>
          </w:tcPr>
          <w:p w14:paraId="46AD8891" w14:textId="77777777" w:rsidR="009E0FFC" w:rsidRPr="00DF0B57" w:rsidRDefault="009E0FFC" w:rsidP="001B4B99">
            <w:pPr>
              <w:widowControl w:val="0"/>
              <w:pBdr>
                <w:top w:val="nil"/>
                <w:left w:val="nil"/>
                <w:bottom w:val="nil"/>
                <w:right w:val="nil"/>
                <w:between w:val="nil"/>
              </w:pBdr>
              <w:jc w:val="both"/>
              <w:rPr>
                <w:b/>
              </w:rPr>
            </w:pPr>
          </w:p>
        </w:tc>
        <w:tc>
          <w:tcPr>
            <w:tcW w:w="1589" w:type="dxa"/>
          </w:tcPr>
          <w:p w14:paraId="0A5D0369"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4.2%</w:t>
            </w:r>
          </w:p>
        </w:tc>
        <w:tc>
          <w:tcPr>
            <w:tcW w:w="1589" w:type="dxa"/>
          </w:tcPr>
          <w:p w14:paraId="2D5899BA"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10.1%</w:t>
            </w:r>
          </w:p>
        </w:tc>
        <w:tc>
          <w:tcPr>
            <w:tcW w:w="1589" w:type="dxa"/>
          </w:tcPr>
          <w:p w14:paraId="3B0E5275" w14:textId="77777777" w:rsidR="009E0FFC" w:rsidRPr="00DF0B57" w:rsidRDefault="009E0FFC" w:rsidP="001B4B99">
            <w:pPr>
              <w:jc w:val="both"/>
              <w:cnfStyle w:val="000000000000" w:firstRow="0" w:lastRow="0" w:firstColumn="0" w:lastColumn="0" w:oddVBand="0" w:evenVBand="0" w:oddHBand="0" w:evenHBand="0" w:firstRowFirstColumn="0" w:firstRowLastColumn="0" w:lastRowFirstColumn="0" w:lastRowLastColumn="0"/>
            </w:pPr>
          </w:p>
        </w:tc>
        <w:tc>
          <w:tcPr>
            <w:tcW w:w="1589" w:type="dxa"/>
          </w:tcPr>
          <w:p w14:paraId="2F7E1CD6"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14.3%</w:t>
            </w:r>
          </w:p>
        </w:tc>
      </w:tr>
      <w:tr w:rsidR="00DF0B57" w:rsidRPr="00DF0B57" w14:paraId="414C25B1" w14:textId="77777777" w:rsidTr="009E0FFC">
        <w:trPr>
          <w:trHeight w:val="295"/>
          <w:jc w:val="center"/>
        </w:trPr>
        <w:tc>
          <w:tcPr>
            <w:cnfStyle w:val="001000000000" w:firstRow="0" w:lastRow="0" w:firstColumn="1" w:lastColumn="0" w:oddVBand="0" w:evenVBand="0" w:oddHBand="0" w:evenHBand="0" w:firstRowFirstColumn="0" w:firstRowLastColumn="0" w:lastRowFirstColumn="0" w:lastRowLastColumn="0"/>
            <w:tcW w:w="1589" w:type="dxa"/>
            <w:vMerge w:val="restart"/>
          </w:tcPr>
          <w:p w14:paraId="695AB699" w14:textId="77777777" w:rsidR="009E0FFC" w:rsidRPr="00DF0B57" w:rsidRDefault="006B1808" w:rsidP="001B4B99">
            <w:pPr>
              <w:jc w:val="both"/>
              <w:rPr>
                <w:b/>
              </w:rPr>
            </w:pPr>
            <w:r w:rsidRPr="00DF0B57">
              <w:rPr>
                <w:b/>
              </w:rPr>
              <w:t>56-65</w:t>
            </w:r>
          </w:p>
        </w:tc>
        <w:tc>
          <w:tcPr>
            <w:tcW w:w="1589" w:type="dxa"/>
          </w:tcPr>
          <w:p w14:paraId="581BFF58"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b/>
              </w:rPr>
            </w:pPr>
            <w:r w:rsidRPr="00DF0B57">
              <w:rPr>
                <w:b/>
              </w:rPr>
              <w:t>4</w:t>
            </w:r>
          </w:p>
        </w:tc>
        <w:tc>
          <w:tcPr>
            <w:tcW w:w="1589" w:type="dxa"/>
          </w:tcPr>
          <w:p w14:paraId="451FC529"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b/>
              </w:rPr>
            </w:pPr>
            <w:r w:rsidRPr="00DF0B57">
              <w:rPr>
                <w:b/>
              </w:rPr>
              <w:t>2</w:t>
            </w:r>
          </w:p>
        </w:tc>
        <w:tc>
          <w:tcPr>
            <w:tcW w:w="1589" w:type="dxa"/>
          </w:tcPr>
          <w:p w14:paraId="6EDB88D6" w14:textId="77777777" w:rsidR="009E0FFC" w:rsidRPr="00DF0B57" w:rsidRDefault="009E0FFC" w:rsidP="001B4B99">
            <w:pPr>
              <w:jc w:val="both"/>
              <w:cnfStyle w:val="000000000000" w:firstRow="0" w:lastRow="0" w:firstColumn="0" w:lastColumn="0" w:oddVBand="0" w:evenVBand="0" w:oddHBand="0" w:evenHBand="0" w:firstRowFirstColumn="0" w:firstRowLastColumn="0" w:lastRowFirstColumn="0" w:lastRowLastColumn="0"/>
              <w:rPr>
                <w:b/>
              </w:rPr>
            </w:pPr>
          </w:p>
        </w:tc>
        <w:tc>
          <w:tcPr>
            <w:tcW w:w="1589" w:type="dxa"/>
          </w:tcPr>
          <w:p w14:paraId="771D7CDD"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b/>
              </w:rPr>
            </w:pPr>
            <w:r w:rsidRPr="00DF0B57">
              <w:rPr>
                <w:b/>
              </w:rPr>
              <w:t>6</w:t>
            </w:r>
          </w:p>
        </w:tc>
      </w:tr>
      <w:tr w:rsidR="00DF0B57" w:rsidRPr="00DF0B57" w14:paraId="20EFF77A" w14:textId="77777777" w:rsidTr="009E0FFC">
        <w:trPr>
          <w:trHeight w:val="310"/>
          <w:jc w:val="center"/>
        </w:trPr>
        <w:tc>
          <w:tcPr>
            <w:cnfStyle w:val="001000000000" w:firstRow="0" w:lastRow="0" w:firstColumn="1" w:lastColumn="0" w:oddVBand="0" w:evenVBand="0" w:oddHBand="0" w:evenHBand="0" w:firstRowFirstColumn="0" w:firstRowLastColumn="0" w:lastRowFirstColumn="0" w:lastRowLastColumn="0"/>
            <w:tcW w:w="1589" w:type="dxa"/>
            <w:vMerge/>
          </w:tcPr>
          <w:p w14:paraId="214ED770" w14:textId="77777777" w:rsidR="009E0FFC" w:rsidRPr="00DF0B57" w:rsidRDefault="009E0FFC" w:rsidP="001B4B99">
            <w:pPr>
              <w:widowControl w:val="0"/>
              <w:pBdr>
                <w:top w:val="nil"/>
                <w:left w:val="nil"/>
                <w:bottom w:val="nil"/>
                <w:right w:val="nil"/>
                <w:between w:val="nil"/>
              </w:pBdr>
              <w:jc w:val="both"/>
              <w:rPr>
                <w:b/>
              </w:rPr>
            </w:pPr>
          </w:p>
        </w:tc>
        <w:tc>
          <w:tcPr>
            <w:tcW w:w="1589" w:type="dxa"/>
            <w:tcBorders>
              <w:bottom w:val="single" w:sz="4" w:space="0" w:color="000000"/>
            </w:tcBorders>
          </w:tcPr>
          <w:p w14:paraId="68AB98E2"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1.1%</w:t>
            </w:r>
          </w:p>
        </w:tc>
        <w:tc>
          <w:tcPr>
            <w:tcW w:w="1589" w:type="dxa"/>
            <w:tcBorders>
              <w:bottom w:val="single" w:sz="4" w:space="0" w:color="000000"/>
            </w:tcBorders>
          </w:tcPr>
          <w:p w14:paraId="1A1514F5"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0.6%</w:t>
            </w:r>
          </w:p>
        </w:tc>
        <w:tc>
          <w:tcPr>
            <w:tcW w:w="1589" w:type="dxa"/>
            <w:tcBorders>
              <w:bottom w:val="single" w:sz="4" w:space="0" w:color="000000"/>
            </w:tcBorders>
          </w:tcPr>
          <w:p w14:paraId="35D1C256" w14:textId="77777777" w:rsidR="009E0FFC" w:rsidRPr="00DF0B57" w:rsidRDefault="009E0FFC" w:rsidP="001B4B99">
            <w:pPr>
              <w:jc w:val="both"/>
              <w:cnfStyle w:val="000000000000" w:firstRow="0" w:lastRow="0" w:firstColumn="0" w:lastColumn="0" w:oddVBand="0" w:evenVBand="0" w:oddHBand="0" w:evenHBand="0" w:firstRowFirstColumn="0" w:firstRowLastColumn="0" w:lastRowFirstColumn="0" w:lastRowLastColumn="0"/>
            </w:pPr>
          </w:p>
        </w:tc>
        <w:tc>
          <w:tcPr>
            <w:tcW w:w="1589" w:type="dxa"/>
            <w:tcBorders>
              <w:bottom w:val="single" w:sz="4" w:space="0" w:color="000000"/>
            </w:tcBorders>
          </w:tcPr>
          <w:p w14:paraId="4B193415"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1.7%</w:t>
            </w:r>
          </w:p>
        </w:tc>
      </w:tr>
      <w:tr w:rsidR="00DF0B57" w:rsidRPr="00DF0B57" w14:paraId="7813E7F1" w14:textId="77777777" w:rsidTr="009E0FFC">
        <w:trPr>
          <w:trHeight w:val="295"/>
          <w:jc w:val="center"/>
        </w:trPr>
        <w:tc>
          <w:tcPr>
            <w:cnfStyle w:val="001000000000" w:firstRow="0" w:lastRow="0" w:firstColumn="1" w:lastColumn="0" w:oddVBand="0" w:evenVBand="0" w:oddHBand="0" w:evenHBand="0" w:firstRowFirstColumn="0" w:firstRowLastColumn="0" w:lastRowFirstColumn="0" w:lastRowLastColumn="0"/>
            <w:tcW w:w="1589" w:type="dxa"/>
            <w:tcBorders>
              <w:top w:val="single" w:sz="4" w:space="0" w:color="000000"/>
              <w:bottom w:val="single" w:sz="4" w:space="0" w:color="000000"/>
            </w:tcBorders>
          </w:tcPr>
          <w:p w14:paraId="30F5C1BD" w14:textId="77777777" w:rsidR="009E0FFC" w:rsidRPr="00DF0B57" w:rsidRDefault="006B1808" w:rsidP="001B4B99">
            <w:pPr>
              <w:jc w:val="both"/>
              <w:rPr>
                <w:b/>
              </w:rPr>
            </w:pPr>
            <w:r w:rsidRPr="00DF0B57">
              <w:rPr>
                <w:b/>
              </w:rPr>
              <w:t>Total</w:t>
            </w:r>
          </w:p>
        </w:tc>
        <w:tc>
          <w:tcPr>
            <w:tcW w:w="1589" w:type="dxa"/>
            <w:tcBorders>
              <w:top w:val="single" w:sz="4" w:space="0" w:color="000000"/>
              <w:bottom w:val="single" w:sz="4" w:space="0" w:color="000000"/>
            </w:tcBorders>
          </w:tcPr>
          <w:p w14:paraId="5F162EE6"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168</w:t>
            </w:r>
          </w:p>
        </w:tc>
        <w:tc>
          <w:tcPr>
            <w:tcW w:w="1589" w:type="dxa"/>
            <w:tcBorders>
              <w:top w:val="single" w:sz="4" w:space="0" w:color="000000"/>
              <w:bottom w:val="single" w:sz="4" w:space="0" w:color="000000"/>
            </w:tcBorders>
          </w:tcPr>
          <w:p w14:paraId="71121314"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187</w:t>
            </w:r>
          </w:p>
        </w:tc>
        <w:tc>
          <w:tcPr>
            <w:tcW w:w="1589" w:type="dxa"/>
            <w:tcBorders>
              <w:top w:val="single" w:sz="4" w:space="0" w:color="000000"/>
              <w:bottom w:val="single" w:sz="4" w:space="0" w:color="000000"/>
            </w:tcBorders>
          </w:tcPr>
          <w:p w14:paraId="5D72EB30"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1</w:t>
            </w:r>
          </w:p>
        </w:tc>
        <w:tc>
          <w:tcPr>
            <w:tcW w:w="1589" w:type="dxa"/>
            <w:tcBorders>
              <w:top w:val="single" w:sz="4" w:space="0" w:color="000000"/>
              <w:bottom w:val="single" w:sz="4" w:space="0" w:color="000000"/>
            </w:tcBorders>
          </w:tcPr>
          <w:p w14:paraId="1CB57345"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356</w:t>
            </w:r>
          </w:p>
        </w:tc>
      </w:tr>
      <w:tr w:rsidR="00DF0B57" w:rsidRPr="00DF0B57" w14:paraId="6917B45F" w14:textId="77777777" w:rsidTr="009E0FFC">
        <w:trPr>
          <w:trHeight w:val="295"/>
          <w:jc w:val="center"/>
        </w:trPr>
        <w:tc>
          <w:tcPr>
            <w:cnfStyle w:val="001000000000" w:firstRow="0" w:lastRow="0" w:firstColumn="1" w:lastColumn="0" w:oddVBand="0" w:evenVBand="0" w:oddHBand="0" w:evenHBand="0" w:firstRowFirstColumn="0" w:firstRowLastColumn="0" w:lastRowFirstColumn="0" w:lastRowLastColumn="0"/>
            <w:tcW w:w="1589" w:type="dxa"/>
            <w:tcBorders>
              <w:top w:val="single" w:sz="4" w:space="0" w:color="000000"/>
            </w:tcBorders>
          </w:tcPr>
          <w:p w14:paraId="2EB60C80" w14:textId="77777777" w:rsidR="009E0FFC" w:rsidRPr="00DF0B57" w:rsidRDefault="006B1808" w:rsidP="001B4B99">
            <w:pPr>
              <w:jc w:val="both"/>
              <w:rPr>
                <w:b/>
              </w:rPr>
            </w:pPr>
            <w:r w:rsidRPr="00DF0B57">
              <w:rPr>
                <w:b/>
              </w:rPr>
              <w:t>Porcentaje</w:t>
            </w:r>
          </w:p>
        </w:tc>
        <w:tc>
          <w:tcPr>
            <w:tcW w:w="1589" w:type="dxa"/>
            <w:tcBorders>
              <w:top w:val="single" w:sz="4" w:space="0" w:color="000000"/>
            </w:tcBorders>
          </w:tcPr>
          <w:p w14:paraId="190A5F65"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47.2%</w:t>
            </w:r>
          </w:p>
        </w:tc>
        <w:tc>
          <w:tcPr>
            <w:tcW w:w="1589" w:type="dxa"/>
            <w:tcBorders>
              <w:top w:val="single" w:sz="4" w:space="0" w:color="000000"/>
            </w:tcBorders>
          </w:tcPr>
          <w:p w14:paraId="3DFA77D0"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52.5%</w:t>
            </w:r>
          </w:p>
        </w:tc>
        <w:tc>
          <w:tcPr>
            <w:tcW w:w="1589" w:type="dxa"/>
            <w:tcBorders>
              <w:top w:val="single" w:sz="4" w:space="0" w:color="000000"/>
            </w:tcBorders>
          </w:tcPr>
          <w:p w14:paraId="4CD34366"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0.3%</w:t>
            </w:r>
          </w:p>
        </w:tc>
        <w:tc>
          <w:tcPr>
            <w:tcW w:w="1589" w:type="dxa"/>
            <w:tcBorders>
              <w:top w:val="single" w:sz="4" w:space="0" w:color="000000"/>
            </w:tcBorders>
          </w:tcPr>
          <w:p w14:paraId="5FCD7BEA"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100.0%</w:t>
            </w:r>
          </w:p>
        </w:tc>
      </w:tr>
    </w:tbl>
    <w:p w14:paraId="4D6F7DB9" w14:textId="14B804A8" w:rsidR="009E0FFC" w:rsidRPr="00DF0B57" w:rsidRDefault="006B1808" w:rsidP="001B4B99">
      <w:pPr>
        <w:spacing w:line="24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 xml:space="preserve">            </w:t>
      </w:r>
      <w:r w:rsidR="009417B0" w:rsidRPr="009417B0">
        <w:rPr>
          <w:rFonts w:ascii="Times New Roman" w:eastAsia="Times New Roman" w:hAnsi="Times New Roman" w:cs="Times New Roman"/>
          <w:b/>
          <w:bCs/>
          <w:sz w:val="24"/>
          <w:szCs w:val="24"/>
        </w:rPr>
        <w:t>Fuente:</w:t>
      </w:r>
      <w:r w:rsidR="009417B0">
        <w:rPr>
          <w:rFonts w:ascii="Times New Roman" w:eastAsia="Times New Roman" w:hAnsi="Times New Roman" w:cs="Times New Roman"/>
          <w:sz w:val="24"/>
          <w:szCs w:val="24"/>
        </w:rPr>
        <w:t xml:space="preserve"> Elaboración propia c</w:t>
      </w:r>
      <w:r w:rsidR="009417B0" w:rsidRPr="00DF0B57">
        <w:rPr>
          <w:rFonts w:ascii="Times New Roman" w:eastAsia="Times New Roman" w:hAnsi="Times New Roman" w:cs="Times New Roman"/>
          <w:sz w:val="24"/>
          <w:szCs w:val="24"/>
        </w:rPr>
        <w:t xml:space="preserve">on </w:t>
      </w:r>
      <w:r w:rsidRPr="00DF0B57">
        <w:rPr>
          <w:rFonts w:ascii="Times New Roman" w:eastAsia="Times New Roman" w:hAnsi="Times New Roman" w:cs="Times New Roman"/>
          <w:sz w:val="24"/>
          <w:szCs w:val="24"/>
        </w:rPr>
        <w:t>base en encuesta online, abril-julio, 2020</w:t>
      </w:r>
    </w:p>
    <w:p w14:paraId="4936FA8C" w14:textId="77777777" w:rsidR="009E0FFC" w:rsidRPr="00DF0B57" w:rsidRDefault="006B1808" w:rsidP="001B4B99">
      <w:pPr>
        <w:spacing w:after="0" w:line="24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 xml:space="preserve">De las personas participantes el 44.7% fueron solteras, el 40.7% casadas y el tercer lugar con un 7.6% personas en situación de divorcio, 6.5% unión libre y un 0.6% viudo. </w:t>
      </w:r>
    </w:p>
    <w:p w14:paraId="5D36AC9E" w14:textId="77777777" w:rsidR="009E0FFC" w:rsidRPr="00DF0B57" w:rsidRDefault="009E0FFC" w:rsidP="001B4B99">
      <w:pPr>
        <w:spacing w:after="0" w:line="240" w:lineRule="auto"/>
        <w:jc w:val="both"/>
        <w:rPr>
          <w:rFonts w:ascii="Times New Roman" w:eastAsia="Times New Roman" w:hAnsi="Times New Roman" w:cs="Times New Roman"/>
          <w:sz w:val="24"/>
          <w:szCs w:val="24"/>
        </w:rPr>
      </w:pPr>
    </w:p>
    <w:p w14:paraId="1589087C" w14:textId="77777777" w:rsidR="009E0FFC" w:rsidRPr="00DF0B57" w:rsidRDefault="006B1808" w:rsidP="001B4B99">
      <w:pPr>
        <w:spacing w:after="0" w:line="24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En el segundo eje de interés sobre la situación laboral, ingresos y gastos</w:t>
      </w:r>
      <w:r w:rsidRPr="00DF0B57">
        <w:rPr>
          <w:rFonts w:ascii="Times New Roman" w:eastAsia="Times New Roman" w:hAnsi="Times New Roman" w:cs="Times New Roman"/>
          <w:b/>
          <w:sz w:val="24"/>
          <w:szCs w:val="24"/>
        </w:rPr>
        <w:t xml:space="preserve">, </w:t>
      </w:r>
      <w:r w:rsidRPr="00DF0B57">
        <w:rPr>
          <w:rFonts w:ascii="Times New Roman" w:eastAsia="Times New Roman" w:hAnsi="Times New Roman" w:cs="Times New Roman"/>
          <w:sz w:val="24"/>
          <w:szCs w:val="24"/>
        </w:rPr>
        <w:t xml:space="preserve">se preguntó sobre el número de dependientes económicos, el 22.8% mencionó tener un dependiente, el 20.2% dos dependientes, el 19.9% con tres dependientes y en los resultados hasta un 2.2% con más de cinco dependientes económicos. </w:t>
      </w:r>
    </w:p>
    <w:p w14:paraId="451743C7" w14:textId="77777777" w:rsidR="009E0FFC" w:rsidRPr="00DF0B57" w:rsidRDefault="009E0FFC" w:rsidP="001B4B99">
      <w:pPr>
        <w:spacing w:after="0" w:line="240" w:lineRule="auto"/>
        <w:jc w:val="both"/>
        <w:rPr>
          <w:rFonts w:ascii="Times New Roman" w:eastAsia="Times New Roman" w:hAnsi="Times New Roman" w:cs="Times New Roman"/>
          <w:b/>
          <w:sz w:val="24"/>
          <w:szCs w:val="24"/>
        </w:rPr>
      </w:pPr>
    </w:p>
    <w:p w14:paraId="2890151E" w14:textId="4AD015C1" w:rsidR="009E0FFC" w:rsidRPr="00DF0B57" w:rsidRDefault="006B1808" w:rsidP="001B4B99">
      <w:pPr>
        <w:spacing w:after="0" w:line="24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Sobre el tipo de situación laboral, en la tabla 4 se observa que un 28% se reportó como desempleado (considerando que tenía empleo antes de la pandemia), el 14.4% con descanso sin goce de sueldo, el 11.9% de las personas comentaron que tienen empleo, pero el salario disminuyó, ese mismo porcentaje reportó que n</w:t>
      </w:r>
      <w:r w:rsidR="00DF0B57" w:rsidRPr="00DF0B57">
        <w:rPr>
          <w:rFonts w:ascii="Times New Roman" w:eastAsia="Times New Roman" w:hAnsi="Times New Roman" w:cs="Times New Roman"/>
          <w:sz w:val="24"/>
          <w:szCs w:val="24"/>
        </w:rPr>
        <w:t>o</w:t>
      </w:r>
      <w:r w:rsidRPr="00DF0B57">
        <w:rPr>
          <w:rFonts w:ascii="Times New Roman" w:eastAsia="Times New Roman" w:hAnsi="Times New Roman" w:cs="Times New Roman"/>
          <w:sz w:val="24"/>
          <w:szCs w:val="24"/>
        </w:rPr>
        <w:t xml:space="preserve"> hay cambios en su estatus laboral, cabe destacar que 18% de los encuestados se encuentran en situaciones particulares como negocios propios, pertenecen a un sindicato, trabajo a distancia, o tienen apoyo mínimo de la empresa en la que laboran.</w:t>
      </w:r>
    </w:p>
    <w:p w14:paraId="3A86E1FC" w14:textId="77777777" w:rsidR="009E0FFC" w:rsidRPr="00DF0B57" w:rsidRDefault="009E0FFC" w:rsidP="001B4B99">
      <w:pPr>
        <w:spacing w:after="0" w:line="240" w:lineRule="auto"/>
        <w:jc w:val="both"/>
        <w:rPr>
          <w:rFonts w:ascii="Times New Roman" w:eastAsia="Times New Roman" w:hAnsi="Times New Roman" w:cs="Times New Roman"/>
          <w:sz w:val="24"/>
          <w:szCs w:val="24"/>
        </w:rPr>
      </w:pPr>
    </w:p>
    <w:p w14:paraId="63986254" w14:textId="77777777" w:rsidR="009E0FFC" w:rsidRPr="00DF0B57" w:rsidRDefault="006B1808" w:rsidP="001B4B99">
      <w:pPr>
        <w:spacing w:line="240" w:lineRule="auto"/>
        <w:ind w:firstLine="720"/>
        <w:jc w:val="both"/>
        <w:rPr>
          <w:rFonts w:ascii="Times New Roman" w:eastAsia="Times New Roman" w:hAnsi="Times New Roman" w:cs="Times New Roman"/>
          <w:b/>
          <w:sz w:val="24"/>
          <w:szCs w:val="24"/>
        </w:rPr>
      </w:pPr>
      <w:r w:rsidRPr="00DF0B57">
        <w:rPr>
          <w:rFonts w:ascii="Times New Roman" w:eastAsia="Times New Roman" w:hAnsi="Times New Roman" w:cs="Times New Roman"/>
          <w:b/>
          <w:sz w:val="24"/>
          <w:szCs w:val="24"/>
        </w:rPr>
        <w:t>Tabla 4</w:t>
      </w:r>
    </w:p>
    <w:p w14:paraId="68010BED" w14:textId="77777777" w:rsidR="009E0FFC" w:rsidRPr="00DF0B57" w:rsidRDefault="006B1808" w:rsidP="001B4B99">
      <w:pPr>
        <w:spacing w:line="240" w:lineRule="auto"/>
        <w:ind w:firstLine="720"/>
        <w:jc w:val="both"/>
        <w:rPr>
          <w:rFonts w:ascii="Times New Roman" w:eastAsia="Times New Roman" w:hAnsi="Times New Roman" w:cs="Times New Roman"/>
          <w:b/>
          <w:sz w:val="24"/>
          <w:szCs w:val="24"/>
        </w:rPr>
      </w:pPr>
      <w:r w:rsidRPr="00DF0B57">
        <w:rPr>
          <w:rFonts w:ascii="Times New Roman" w:eastAsia="Times New Roman" w:hAnsi="Times New Roman" w:cs="Times New Roman"/>
          <w:sz w:val="24"/>
          <w:szCs w:val="24"/>
        </w:rPr>
        <w:t>Situación Laboral</w:t>
      </w:r>
    </w:p>
    <w:tbl>
      <w:tblPr>
        <w:tblStyle w:val="3"/>
        <w:tblW w:w="8075" w:type="dxa"/>
        <w:jc w:val="center"/>
        <w:tblInd w:w="0" w:type="dxa"/>
        <w:tblBorders>
          <w:bottom w:val="single" w:sz="4" w:space="0" w:color="000000"/>
        </w:tblBorders>
        <w:tblLayout w:type="fixed"/>
        <w:tblLook w:val="04A0" w:firstRow="1" w:lastRow="0" w:firstColumn="1" w:lastColumn="0" w:noHBand="0" w:noVBand="1"/>
      </w:tblPr>
      <w:tblGrid>
        <w:gridCol w:w="5430"/>
        <w:gridCol w:w="1416"/>
        <w:gridCol w:w="1229"/>
      </w:tblGrid>
      <w:tr w:rsidR="00DF0B57" w:rsidRPr="00DF0B57" w14:paraId="006A0ABE" w14:textId="77777777" w:rsidTr="009E0FFC">
        <w:trPr>
          <w:cnfStyle w:val="100000000000" w:firstRow="1" w:lastRow="0" w:firstColumn="0" w:lastColumn="0" w:oddVBand="0" w:evenVBand="0" w:oddHBand="0"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5430" w:type="dxa"/>
          </w:tcPr>
          <w:p w14:paraId="0B337405" w14:textId="77777777" w:rsidR="009E0FFC" w:rsidRPr="00DF0B57" w:rsidRDefault="006B1808" w:rsidP="001B4B99">
            <w:pPr>
              <w:jc w:val="both"/>
              <w:rPr>
                <w:b/>
              </w:rPr>
            </w:pPr>
            <w:r w:rsidRPr="00DF0B57">
              <w:rPr>
                <w:b/>
              </w:rPr>
              <w:t>Opciones</w:t>
            </w:r>
          </w:p>
        </w:tc>
        <w:tc>
          <w:tcPr>
            <w:tcW w:w="1416" w:type="dxa"/>
          </w:tcPr>
          <w:p w14:paraId="4FF68D07" w14:textId="77777777" w:rsidR="009E0FFC" w:rsidRPr="00DF0B57" w:rsidRDefault="006B1808" w:rsidP="001B4B99">
            <w:pPr>
              <w:jc w:val="both"/>
              <w:cnfStyle w:val="100000000000" w:firstRow="1" w:lastRow="0" w:firstColumn="0" w:lastColumn="0" w:oddVBand="0" w:evenVBand="0" w:oddHBand="0" w:evenHBand="0" w:firstRowFirstColumn="0" w:firstRowLastColumn="0" w:lastRowFirstColumn="0" w:lastRowLastColumn="0"/>
            </w:pPr>
            <w:r w:rsidRPr="00DF0B57">
              <w:t>Encuestados</w:t>
            </w:r>
          </w:p>
        </w:tc>
        <w:tc>
          <w:tcPr>
            <w:tcW w:w="1229" w:type="dxa"/>
          </w:tcPr>
          <w:p w14:paraId="408D1BA3" w14:textId="77777777" w:rsidR="009E0FFC" w:rsidRPr="00DF0B57" w:rsidRDefault="006B1808" w:rsidP="001B4B99">
            <w:pPr>
              <w:jc w:val="both"/>
              <w:cnfStyle w:val="100000000000" w:firstRow="1" w:lastRow="0" w:firstColumn="0" w:lastColumn="0" w:oddVBand="0" w:evenVBand="0" w:oddHBand="0" w:evenHBand="0" w:firstRowFirstColumn="0" w:firstRowLastColumn="0" w:lastRowFirstColumn="0" w:lastRowLastColumn="0"/>
            </w:pPr>
            <w:r w:rsidRPr="00DF0B57">
              <w:t>Porcentaje (%)</w:t>
            </w:r>
          </w:p>
        </w:tc>
      </w:tr>
      <w:tr w:rsidR="00DF0B57" w:rsidRPr="00DF0B57" w14:paraId="57D8D094" w14:textId="77777777" w:rsidTr="009E0FFC">
        <w:trPr>
          <w:trHeight w:val="329"/>
          <w:jc w:val="center"/>
        </w:trPr>
        <w:tc>
          <w:tcPr>
            <w:cnfStyle w:val="001000000000" w:firstRow="0" w:lastRow="0" w:firstColumn="1" w:lastColumn="0" w:oddVBand="0" w:evenVBand="0" w:oddHBand="0" w:evenHBand="0" w:firstRowFirstColumn="0" w:firstRowLastColumn="0" w:lastRowFirstColumn="0" w:lastRowLastColumn="0"/>
            <w:tcW w:w="5430" w:type="dxa"/>
          </w:tcPr>
          <w:p w14:paraId="7F2ADC48" w14:textId="77777777" w:rsidR="009E0FFC" w:rsidRPr="00DF0B57" w:rsidRDefault="006B1808" w:rsidP="001B4B99">
            <w:pPr>
              <w:jc w:val="both"/>
            </w:pPr>
            <w:r w:rsidRPr="00DF0B57">
              <w:t>Tengo empleo y sigo laborando de manera habitual (No hay cambios).</w:t>
            </w:r>
          </w:p>
        </w:tc>
        <w:tc>
          <w:tcPr>
            <w:tcW w:w="1416" w:type="dxa"/>
          </w:tcPr>
          <w:p w14:paraId="2A51BE61"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42</w:t>
            </w:r>
          </w:p>
        </w:tc>
        <w:tc>
          <w:tcPr>
            <w:tcW w:w="1229" w:type="dxa"/>
          </w:tcPr>
          <w:p w14:paraId="1D0159A5"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11.9</w:t>
            </w:r>
          </w:p>
        </w:tc>
      </w:tr>
      <w:tr w:rsidR="00DF0B57" w:rsidRPr="00DF0B57" w14:paraId="7E2315CA" w14:textId="77777777" w:rsidTr="009E0FFC">
        <w:trPr>
          <w:trHeight w:val="236"/>
          <w:jc w:val="center"/>
        </w:trPr>
        <w:tc>
          <w:tcPr>
            <w:cnfStyle w:val="001000000000" w:firstRow="0" w:lastRow="0" w:firstColumn="1" w:lastColumn="0" w:oddVBand="0" w:evenVBand="0" w:oddHBand="0" w:evenHBand="0" w:firstRowFirstColumn="0" w:firstRowLastColumn="0" w:lastRowFirstColumn="0" w:lastRowLastColumn="0"/>
            <w:tcW w:w="5430" w:type="dxa"/>
          </w:tcPr>
          <w:p w14:paraId="33C69C1A" w14:textId="77777777" w:rsidR="009E0FFC" w:rsidRPr="00DF0B57" w:rsidRDefault="006B1808" w:rsidP="001B4B99">
            <w:pPr>
              <w:jc w:val="both"/>
            </w:pPr>
            <w:r w:rsidRPr="00DF0B57">
              <w:t>Tengo empleo, pero mi salario disminuyó (señala el porcentaje de reducción en donde dice Otras)</w:t>
            </w:r>
          </w:p>
        </w:tc>
        <w:tc>
          <w:tcPr>
            <w:tcW w:w="1416" w:type="dxa"/>
          </w:tcPr>
          <w:p w14:paraId="655F5F38"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42</w:t>
            </w:r>
          </w:p>
        </w:tc>
        <w:tc>
          <w:tcPr>
            <w:tcW w:w="1229" w:type="dxa"/>
          </w:tcPr>
          <w:p w14:paraId="16D4D604"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11.9</w:t>
            </w:r>
          </w:p>
        </w:tc>
      </w:tr>
      <w:tr w:rsidR="00DF0B57" w:rsidRPr="00DF0B57" w14:paraId="08766367" w14:textId="77777777" w:rsidTr="009E0FFC">
        <w:trPr>
          <w:trHeight w:val="286"/>
          <w:jc w:val="center"/>
        </w:trPr>
        <w:tc>
          <w:tcPr>
            <w:cnfStyle w:val="001000000000" w:firstRow="0" w:lastRow="0" w:firstColumn="1" w:lastColumn="0" w:oddVBand="0" w:evenVBand="0" w:oddHBand="0" w:evenHBand="0" w:firstRowFirstColumn="0" w:firstRowLastColumn="0" w:lastRowFirstColumn="0" w:lastRowLastColumn="0"/>
            <w:tcW w:w="5430" w:type="dxa"/>
          </w:tcPr>
          <w:p w14:paraId="2307EB62" w14:textId="77777777" w:rsidR="009E0FFC" w:rsidRPr="00DF0B57" w:rsidRDefault="006B1808" w:rsidP="001B4B99">
            <w:pPr>
              <w:jc w:val="both"/>
            </w:pPr>
            <w:r w:rsidRPr="00DF0B57">
              <w:t>Tengo descanso con goce de sueldo</w:t>
            </w:r>
          </w:p>
        </w:tc>
        <w:tc>
          <w:tcPr>
            <w:tcW w:w="1416" w:type="dxa"/>
          </w:tcPr>
          <w:p w14:paraId="01DDD1F7"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32</w:t>
            </w:r>
          </w:p>
        </w:tc>
        <w:tc>
          <w:tcPr>
            <w:tcW w:w="1229" w:type="dxa"/>
          </w:tcPr>
          <w:p w14:paraId="35CCAF85"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9.0</w:t>
            </w:r>
          </w:p>
        </w:tc>
      </w:tr>
      <w:tr w:rsidR="00DF0B57" w:rsidRPr="00DF0B57" w14:paraId="2E428B32" w14:textId="77777777" w:rsidTr="009E0FFC">
        <w:trPr>
          <w:trHeight w:val="286"/>
          <w:jc w:val="center"/>
        </w:trPr>
        <w:tc>
          <w:tcPr>
            <w:cnfStyle w:val="001000000000" w:firstRow="0" w:lastRow="0" w:firstColumn="1" w:lastColumn="0" w:oddVBand="0" w:evenVBand="0" w:oddHBand="0" w:evenHBand="0" w:firstRowFirstColumn="0" w:firstRowLastColumn="0" w:lastRowFirstColumn="0" w:lastRowLastColumn="0"/>
            <w:tcW w:w="5430" w:type="dxa"/>
          </w:tcPr>
          <w:p w14:paraId="40D027FB" w14:textId="77777777" w:rsidR="009E0FFC" w:rsidRPr="00DF0B57" w:rsidRDefault="009E0FFC" w:rsidP="001B4B99">
            <w:pPr>
              <w:jc w:val="both"/>
            </w:pPr>
          </w:p>
        </w:tc>
        <w:tc>
          <w:tcPr>
            <w:tcW w:w="1416" w:type="dxa"/>
          </w:tcPr>
          <w:p w14:paraId="0C9A9F8E" w14:textId="77777777" w:rsidR="009E0FFC" w:rsidRPr="00DF0B57" w:rsidRDefault="009E0FFC" w:rsidP="001B4B99">
            <w:pPr>
              <w:jc w:val="both"/>
              <w:cnfStyle w:val="000000000000" w:firstRow="0" w:lastRow="0" w:firstColumn="0" w:lastColumn="0" w:oddVBand="0" w:evenVBand="0" w:oddHBand="0" w:evenHBand="0" w:firstRowFirstColumn="0" w:firstRowLastColumn="0" w:lastRowFirstColumn="0" w:lastRowLastColumn="0"/>
            </w:pPr>
          </w:p>
        </w:tc>
        <w:tc>
          <w:tcPr>
            <w:tcW w:w="1229" w:type="dxa"/>
          </w:tcPr>
          <w:p w14:paraId="22E7B61F" w14:textId="77777777" w:rsidR="009E0FFC" w:rsidRPr="00DF0B57" w:rsidRDefault="009E0FFC" w:rsidP="001B4B99">
            <w:pPr>
              <w:jc w:val="both"/>
              <w:cnfStyle w:val="000000000000" w:firstRow="0" w:lastRow="0" w:firstColumn="0" w:lastColumn="0" w:oddVBand="0" w:evenVBand="0" w:oddHBand="0" w:evenHBand="0" w:firstRowFirstColumn="0" w:firstRowLastColumn="0" w:lastRowFirstColumn="0" w:lastRowLastColumn="0"/>
            </w:pPr>
          </w:p>
        </w:tc>
      </w:tr>
      <w:tr w:rsidR="00DF0B57" w:rsidRPr="00DF0B57" w14:paraId="2202F5BD" w14:textId="77777777" w:rsidTr="009E0FFC">
        <w:trPr>
          <w:trHeight w:val="134"/>
          <w:jc w:val="center"/>
        </w:trPr>
        <w:tc>
          <w:tcPr>
            <w:cnfStyle w:val="001000000000" w:firstRow="0" w:lastRow="0" w:firstColumn="1" w:lastColumn="0" w:oddVBand="0" w:evenVBand="0" w:oddHBand="0" w:evenHBand="0" w:firstRowFirstColumn="0" w:firstRowLastColumn="0" w:lastRowFirstColumn="0" w:lastRowLastColumn="0"/>
            <w:tcW w:w="5430" w:type="dxa"/>
          </w:tcPr>
          <w:p w14:paraId="49E2BF07" w14:textId="77777777" w:rsidR="009E0FFC" w:rsidRPr="00DF0B57" w:rsidRDefault="006B1808" w:rsidP="001B4B99">
            <w:pPr>
              <w:jc w:val="both"/>
            </w:pPr>
            <w:r w:rsidRPr="00DF0B57">
              <w:t>Tengo descanso sin goce de sueldo</w:t>
            </w:r>
          </w:p>
        </w:tc>
        <w:tc>
          <w:tcPr>
            <w:tcW w:w="1416" w:type="dxa"/>
          </w:tcPr>
          <w:p w14:paraId="1AC73C6C"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51</w:t>
            </w:r>
          </w:p>
        </w:tc>
        <w:tc>
          <w:tcPr>
            <w:tcW w:w="1229" w:type="dxa"/>
          </w:tcPr>
          <w:p w14:paraId="6865BCA5"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14.4</w:t>
            </w:r>
          </w:p>
        </w:tc>
      </w:tr>
      <w:tr w:rsidR="00DF0B57" w:rsidRPr="00DF0B57" w14:paraId="3FCCF818" w14:textId="77777777" w:rsidTr="009E0FFC">
        <w:trPr>
          <w:trHeight w:val="58"/>
          <w:jc w:val="center"/>
        </w:trPr>
        <w:tc>
          <w:tcPr>
            <w:cnfStyle w:val="001000000000" w:firstRow="0" w:lastRow="0" w:firstColumn="1" w:lastColumn="0" w:oddVBand="0" w:evenVBand="0" w:oddHBand="0" w:evenHBand="0" w:firstRowFirstColumn="0" w:firstRowLastColumn="0" w:lastRowFirstColumn="0" w:lastRowLastColumn="0"/>
            <w:tcW w:w="5430" w:type="dxa"/>
          </w:tcPr>
          <w:p w14:paraId="669A076F" w14:textId="77777777" w:rsidR="009E0FFC" w:rsidRPr="00DF0B57" w:rsidRDefault="006B1808" w:rsidP="001B4B99">
            <w:pPr>
              <w:jc w:val="both"/>
            </w:pPr>
            <w:r w:rsidRPr="00DF0B57">
              <w:t>Tengo vacaciones pagadas</w:t>
            </w:r>
          </w:p>
        </w:tc>
        <w:tc>
          <w:tcPr>
            <w:tcW w:w="1416" w:type="dxa"/>
          </w:tcPr>
          <w:p w14:paraId="3E1C1ADF"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1</w:t>
            </w:r>
          </w:p>
        </w:tc>
        <w:tc>
          <w:tcPr>
            <w:tcW w:w="1229" w:type="dxa"/>
          </w:tcPr>
          <w:p w14:paraId="573FA5EA"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0.3</w:t>
            </w:r>
          </w:p>
        </w:tc>
      </w:tr>
      <w:tr w:rsidR="00DF0B57" w:rsidRPr="00DF0B57" w14:paraId="258543F9" w14:textId="77777777" w:rsidTr="009E0FFC">
        <w:trPr>
          <w:trHeight w:val="58"/>
          <w:jc w:val="center"/>
        </w:trPr>
        <w:tc>
          <w:tcPr>
            <w:cnfStyle w:val="001000000000" w:firstRow="0" w:lastRow="0" w:firstColumn="1" w:lastColumn="0" w:oddVBand="0" w:evenVBand="0" w:oddHBand="0" w:evenHBand="0" w:firstRowFirstColumn="0" w:firstRowLastColumn="0" w:lastRowFirstColumn="0" w:lastRowLastColumn="0"/>
            <w:tcW w:w="5430" w:type="dxa"/>
          </w:tcPr>
          <w:p w14:paraId="355694C0" w14:textId="77777777" w:rsidR="009E0FFC" w:rsidRPr="00DF0B57" w:rsidRDefault="006B1808" w:rsidP="001B4B99">
            <w:pPr>
              <w:jc w:val="both"/>
            </w:pPr>
            <w:r w:rsidRPr="00DF0B57">
              <w:t>Desempleado (considerando que antes de la contingencia por la pandemia tenía empleo)</w:t>
            </w:r>
          </w:p>
        </w:tc>
        <w:tc>
          <w:tcPr>
            <w:tcW w:w="1416" w:type="dxa"/>
          </w:tcPr>
          <w:p w14:paraId="55955008"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99</w:t>
            </w:r>
          </w:p>
        </w:tc>
        <w:tc>
          <w:tcPr>
            <w:tcW w:w="1229" w:type="dxa"/>
          </w:tcPr>
          <w:p w14:paraId="5C2C2B48"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28.0</w:t>
            </w:r>
          </w:p>
        </w:tc>
      </w:tr>
      <w:tr w:rsidR="00DF0B57" w:rsidRPr="00DF0B57" w14:paraId="7D9F89AD" w14:textId="77777777" w:rsidTr="009E0FFC">
        <w:trPr>
          <w:trHeight w:val="234"/>
          <w:jc w:val="center"/>
        </w:trPr>
        <w:tc>
          <w:tcPr>
            <w:cnfStyle w:val="001000000000" w:firstRow="0" w:lastRow="0" w:firstColumn="1" w:lastColumn="0" w:oddVBand="0" w:evenVBand="0" w:oddHBand="0" w:evenHBand="0" w:firstRowFirstColumn="0" w:firstRowLastColumn="0" w:lastRowFirstColumn="0" w:lastRowLastColumn="0"/>
            <w:tcW w:w="5430" w:type="dxa"/>
          </w:tcPr>
          <w:p w14:paraId="048D60A2" w14:textId="77777777" w:rsidR="009E0FFC" w:rsidRPr="00DF0B57" w:rsidRDefault="006B1808" w:rsidP="001B4B99">
            <w:pPr>
              <w:jc w:val="both"/>
            </w:pPr>
            <w:r w:rsidRPr="00DF0B57">
              <w:t>Desempleado (situación desde antes de la contingencia)</w:t>
            </w:r>
          </w:p>
        </w:tc>
        <w:tc>
          <w:tcPr>
            <w:tcW w:w="1416" w:type="dxa"/>
          </w:tcPr>
          <w:p w14:paraId="3EC0CAAB"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23</w:t>
            </w:r>
          </w:p>
        </w:tc>
        <w:tc>
          <w:tcPr>
            <w:tcW w:w="1229" w:type="dxa"/>
          </w:tcPr>
          <w:p w14:paraId="052BD538"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6.5</w:t>
            </w:r>
          </w:p>
        </w:tc>
      </w:tr>
      <w:tr w:rsidR="00DF0B57" w:rsidRPr="00DF0B57" w14:paraId="4E0903EE" w14:textId="77777777" w:rsidTr="009E0FFC">
        <w:trPr>
          <w:trHeight w:val="111"/>
          <w:jc w:val="center"/>
        </w:trPr>
        <w:tc>
          <w:tcPr>
            <w:cnfStyle w:val="001000000000" w:firstRow="0" w:lastRow="0" w:firstColumn="1" w:lastColumn="0" w:oddVBand="0" w:evenVBand="0" w:oddHBand="0" w:evenHBand="0" w:firstRowFirstColumn="0" w:firstRowLastColumn="0" w:lastRowFirstColumn="0" w:lastRowLastColumn="0"/>
            <w:tcW w:w="5430" w:type="dxa"/>
          </w:tcPr>
          <w:p w14:paraId="6C71A4DC" w14:textId="77777777" w:rsidR="009E0FFC" w:rsidRPr="00DF0B57" w:rsidRDefault="006B1808" w:rsidP="001B4B99">
            <w:pPr>
              <w:jc w:val="both"/>
            </w:pPr>
            <w:r w:rsidRPr="00DF0B57">
              <w:t>Otros</w:t>
            </w:r>
          </w:p>
        </w:tc>
        <w:tc>
          <w:tcPr>
            <w:tcW w:w="1416" w:type="dxa"/>
          </w:tcPr>
          <w:p w14:paraId="5ECE853B"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66</w:t>
            </w:r>
          </w:p>
        </w:tc>
        <w:tc>
          <w:tcPr>
            <w:tcW w:w="1229" w:type="dxa"/>
          </w:tcPr>
          <w:p w14:paraId="33DA0545"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18</w:t>
            </w:r>
          </w:p>
        </w:tc>
      </w:tr>
      <w:tr w:rsidR="00DF0B57" w:rsidRPr="00DF0B57" w14:paraId="1969EC12" w14:textId="77777777" w:rsidTr="009E0FFC">
        <w:trPr>
          <w:trHeight w:val="300"/>
          <w:jc w:val="center"/>
        </w:trPr>
        <w:tc>
          <w:tcPr>
            <w:cnfStyle w:val="001000000000" w:firstRow="0" w:lastRow="0" w:firstColumn="1" w:lastColumn="0" w:oddVBand="0" w:evenVBand="0" w:oddHBand="0" w:evenHBand="0" w:firstRowFirstColumn="0" w:firstRowLastColumn="0" w:lastRowFirstColumn="0" w:lastRowLastColumn="0"/>
            <w:tcW w:w="5430" w:type="dxa"/>
          </w:tcPr>
          <w:p w14:paraId="4AE88F76" w14:textId="77777777" w:rsidR="009E0FFC" w:rsidRPr="00DF0B57" w:rsidRDefault="006B1808" w:rsidP="001B4B99">
            <w:pPr>
              <w:jc w:val="both"/>
              <w:rPr>
                <w:b/>
              </w:rPr>
            </w:pPr>
            <w:r w:rsidRPr="00DF0B57">
              <w:rPr>
                <w:b/>
              </w:rPr>
              <w:t>Total</w:t>
            </w:r>
          </w:p>
        </w:tc>
        <w:tc>
          <w:tcPr>
            <w:tcW w:w="1416" w:type="dxa"/>
          </w:tcPr>
          <w:p w14:paraId="56D47F14"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356</w:t>
            </w:r>
          </w:p>
        </w:tc>
        <w:tc>
          <w:tcPr>
            <w:tcW w:w="1229" w:type="dxa"/>
          </w:tcPr>
          <w:p w14:paraId="311BFA9B"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100.0</w:t>
            </w:r>
          </w:p>
        </w:tc>
      </w:tr>
    </w:tbl>
    <w:p w14:paraId="0F922743" w14:textId="535F1EC1" w:rsidR="009E0FFC" w:rsidRPr="00DF0B57" w:rsidRDefault="006B1808" w:rsidP="001B4B99">
      <w:pPr>
        <w:spacing w:line="24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 xml:space="preserve">            </w:t>
      </w:r>
      <w:r w:rsidR="009417B0" w:rsidRPr="009417B0">
        <w:rPr>
          <w:rFonts w:ascii="Times New Roman" w:eastAsia="Times New Roman" w:hAnsi="Times New Roman" w:cs="Times New Roman"/>
          <w:b/>
          <w:bCs/>
          <w:sz w:val="24"/>
          <w:szCs w:val="24"/>
        </w:rPr>
        <w:t>Fuente:</w:t>
      </w:r>
      <w:r w:rsidR="009417B0">
        <w:rPr>
          <w:rFonts w:ascii="Times New Roman" w:eastAsia="Times New Roman" w:hAnsi="Times New Roman" w:cs="Times New Roman"/>
          <w:sz w:val="24"/>
          <w:szCs w:val="24"/>
        </w:rPr>
        <w:t xml:space="preserve"> Elaboración propia c</w:t>
      </w:r>
      <w:r w:rsidR="009417B0" w:rsidRPr="00DF0B57">
        <w:rPr>
          <w:rFonts w:ascii="Times New Roman" w:eastAsia="Times New Roman" w:hAnsi="Times New Roman" w:cs="Times New Roman"/>
          <w:sz w:val="24"/>
          <w:szCs w:val="24"/>
        </w:rPr>
        <w:t xml:space="preserve">on </w:t>
      </w:r>
      <w:r w:rsidRPr="00DF0B57">
        <w:rPr>
          <w:rFonts w:ascii="Times New Roman" w:eastAsia="Times New Roman" w:hAnsi="Times New Roman" w:cs="Times New Roman"/>
          <w:sz w:val="24"/>
          <w:szCs w:val="24"/>
        </w:rPr>
        <w:t>base en encuesta online, abril-julio, 2020</w:t>
      </w:r>
    </w:p>
    <w:p w14:paraId="74F8FC12" w14:textId="687C322A" w:rsidR="009E0FFC" w:rsidRPr="00DF0B57" w:rsidRDefault="008F05A0" w:rsidP="001B4B9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w:t>
      </w:r>
      <w:r w:rsidR="006B1808" w:rsidRPr="00DF0B57">
        <w:rPr>
          <w:rFonts w:ascii="Times New Roman" w:eastAsia="Times New Roman" w:hAnsi="Times New Roman" w:cs="Times New Roman"/>
          <w:sz w:val="24"/>
          <w:szCs w:val="24"/>
        </w:rPr>
        <w:t>as personas que actualmente tenían una relación laboral, se les pregunto qué tipos de apoyos habían recibido, un 47.7% no recibió (vales de despensa o combustible o sueldo íntegro), el 20% recibió despensa con productos básicos, el 12. 4% su sueldo íntegro, el 5.4% vales de despensa, un 1.1% vales de combustible y el 13. 3% recibió una combinación entre una u dos opciones de las señaladas.</w:t>
      </w:r>
    </w:p>
    <w:p w14:paraId="0EEB2A5D" w14:textId="77777777" w:rsidR="009E0FFC" w:rsidRPr="00DF0B57" w:rsidRDefault="006B1808" w:rsidP="001B4B99">
      <w:pPr>
        <w:spacing w:line="24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En cuanto al tipo de contrato un 52.3% mencionó tener un contrato por tiempo indefinido (no se estipula fecha de finalización) y un 48% sin esa condición, distribuidos en (25. 4% sin contrato, 16.9% un contrato temporal, 2% un contrato eventual, entre otros como interino, de planta, sindicalizado y trabajo independiente). Ver tabla 5.</w:t>
      </w:r>
    </w:p>
    <w:p w14:paraId="6EC4F3F2" w14:textId="77777777" w:rsidR="009E0FFC" w:rsidRPr="00DF0B57" w:rsidRDefault="006B1808" w:rsidP="001B4B99">
      <w:pPr>
        <w:spacing w:line="240" w:lineRule="auto"/>
        <w:jc w:val="both"/>
        <w:rPr>
          <w:rFonts w:ascii="Times New Roman" w:eastAsia="Times New Roman" w:hAnsi="Times New Roman" w:cs="Times New Roman"/>
          <w:b/>
          <w:sz w:val="24"/>
          <w:szCs w:val="24"/>
        </w:rPr>
      </w:pPr>
      <w:r w:rsidRPr="00DF0B57">
        <w:rPr>
          <w:rFonts w:ascii="Times New Roman" w:eastAsia="Times New Roman" w:hAnsi="Times New Roman" w:cs="Times New Roman"/>
          <w:b/>
          <w:sz w:val="24"/>
          <w:szCs w:val="24"/>
        </w:rPr>
        <w:t>Tabla 5</w:t>
      </w:r>
    </w:p>
    <w:p w14:paraId="14CF73AB" w14:textId="77777777" w:rsidR="009E0FFC" w:rsidRPr="00DF0B57" w:rsidRDefault="006B1808" w:rsidP="001B4B99">
      <w:pPr>
        <w:spacing w:line="24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Tipo de Contrato</w:t>
      </w:r>
    </w:p>
    <w:tbl>
      <w:tblPr>
        <w:tblStyle w:val="2"/>
        <w:tblW w:w="8213" w:type="dxa"/>
        <w:jc w:val="center"/>
        <w:tblInd w:w="0" w:type="dxa"/>
        <w:tblBorders>
          <w:bottom w:val="single" w:sz="4" w:space="0" w:color="000000"/>
        </w:tblBorders>
        <w:tblLayout w:type="fixed"/>
        <w:tblLook w:val="04A0" w:firstRow="1" w:lastRow="0" w:firstColumn="1" w:lastColumn="0" w:noHBand="0" w:noVBand="1"/>
      </w:tblPr>
      <w:tblGrid>
        <w:gridCol w:w="5568"/>
        <w:gridCol w:w="1416"/>
        <w:gridCol w:w="1229"/>
      </w:tblGrid>
      <w:tr w:rsidR="00DF0B57" w:rsidRPr="00DF0B57" w14:paraId="4D7501EA" w14:textId="77777777" w:rsidTr="009E419D">
        <w:trPr>
          <w:cnfStyle w:val="100000000000" w:firstRow="1" w:lastRow="0" w:firstColumn="0" w:lastColumn="0" w:oddVBand="0" w:evenVBand="0" w:oddHBand="0" w:evenHBand="0" w:firstRowFirstColumn="0" w:firstRowLastColumn="0" w:lastRowFirstColumn="0" w:lastRowLastColumn="0"/>
          <w:trHeight w:val="45"/>
          <w:jc w:val="center"/>
        </w:trPr>
        <w:tc>
          <w:tcPr>
            <w:cnfStyle w:val="001000000000" w:firstRow="0" w:lastRow="0" w:firstColumn="1" w:lastColumn="0" w:oddVBand="0" w:evenVBand="0" w:oddHBand="0" w:evenHBand="0" w:firstRowFirstColumn="0" w:firstRowLastColumn="0" w:lastRowFirstColumn="0" w:lastRowLastColumn="0"/>
            <w:tcW w:w="5568" w:type="dxa"/>
          </w:tcPr>
          <w:p w14:paraId="75951832" w14:textId="77777777" w:rsidR="009E0FFC" w:rsidRPr="00DF0B57" w:rsidRDefault="006B1808" w:rsidP="001B4B99">
            <w:pPr>
              <w:jc w:val="both"/>
              <w:rPr>
                <w:b/>
              </w:rPr>
            </w:pPr>
            <w:r w:rsidRPr="00DF0B57">
              <w:rPr>
                <w:b/>
              </w:rPr>
              <w:t>Opciones</w:t>
            </w:r>
          </w:p>
        </w:tc>
        <w:tc>
          <w:tcPr>
            <w:tcW w:w="1416" w:type="dxa"/>
          </w:tcPr>
          <w:p w14:paraId="73CE3564" w14:textId="77777777" w:rsidR="009E0FFC" w:rsidRPr="00DF0B57" w:rsidRDefault="006B1808" w:rsidP="001B4B99">
            <w:pPr>
              <w:jc w:val="both"/>
              <w:cnfStyle w:val="100000000000" w:firstRow="1" w:lastRow="0" w:firstColumn="0" w:lastColumn="0" w:oddVBand="0" w:evenVBand="0" w:oddHBand="0" w:evenHBand="0" w:firstRowFirstColumn="0" w:firstRowLastColumn="0" w:lastRowFirstColumn="0" w:lastRowLastColumn="0"/>
            </w:pPr>
            <w:r w:rsidRPr="00DF0B57">
              <w:t>Encuestados</w:t>
            </w:r>
          </w:p>
        </w:tc>
        <w:tc>
          <w:tcPr>
            <w:tcW w:w="1229" w:type="dxa"/>
          </w:tcPr>
          <w:p w14:paraId="48E327A7" w14:textId="77777777" w:rsidR="009E0FFC" w:rsidRPr="00DF0B57" w:rsidRDefault="006B1808" w:rsidP="001B4B99">
            <w:pPr>
              <w:jc w:val="both"/>
              <w:cnfStyle w:val="100000000000" w:firstRow="1" w:lastRow="0" w:firstColumn="0" w:lastColumn="0" w:oddVBand="0" w:evenVBand="0" w:oddHBand="0" w:evenHBand="0" w:firstRowFirstColumn="0" w:firstRowLastColumn="0" w:lastRowFirstColumn="0" w:lastRowLastColumn="0"/>
            </w:pPr>
            <w:r w:rsidRPr="00DF0B57">
              <w:t>Porcentaje (%)</w:t>
            </w:r>
          </w:p>
        </w:tc>
      </w:tr>
      <w:tr w:rsidR="00DF0B57" w:rsidRPr="00DF0B57" w14:paraId="0558529A" w14:textId="77777777" w:rsidTr="009E419D">
        <w:trPr>
          <w:trHeight w:val="45"/>
          <w:jc w:val="center"/>
        </w:trPr>
        <w:tc>
          <w:tcPr>
            <w:cnfStyle w:val="001000000000" w:firstRow="0" w:lastRow="0" w:firstColumn="1" w:lastColumn="0" w:oddVBand="0" w:evenVBand="0" w:oddHBand="0" w:evenHBand="0" w:firstRowFirstColumn="0" w:firstRowLastColumn="0" w:lastRowFirstColumn="0" w:lastRowLastColumn="0"/>
            <w:tcW w:w="5568" w:type="dxa"/>
          </w:tcPr>
          <w:p w14:paraId="1CD75C74" w14:textId="77777777" w:rsidR="009E0FFC" w:rsidRPr="00DF0B57" w:rsidRDefault="006B1808" w:rsidP="001B4B99">
            <w:pPr>
              <w:jc w:val="both"/>
            </w:pPr>
            <w:r w:rsidRPr="00DF0B57">
              <w:t>Indefinido (No se estipula una fecha de finalización)</w:t>
            </w:r>
          </w:p>
        </w:tc>
        <w:tc>
          <w:tcPr>
            <w:tcW w:w="1416" w:type="dxa"/>
          </w:tcPr>
          <w:p w14:paraId="0D029DF1"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185</w:t>
            </w:r>
          </w:p>
        </w:tc>
        <w:tc>
          <w:tcPr>
            <w:tcW w:w="1229" w:type="dxa"/>
          </w:tcPr>
          <w:p w14:paraId="3871EB30"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52.3</w:t>
            </w:r>
          </w:p>
        </w:tc>
      </w:tr>
      <w:tr w:rsidR="00DF0B57" w:rsidRPr="00DF0B57" w14:paraId="761BCB0F" w14:textId="77777777" w:rsidTr="009E419D">
        <w:trPr>
          <w:trHeight w:val="77"/>
          <w:jc w:val="center"/>
        </w:trPr>
        <w:tc>
          <w:tcPr>
            <w:cnfStyle w:val="001000000000" w:firstRow="0" w:lastRow="0" w:firstColumn="1" w:lastColumn="0" w:oddVBand="0" w:evenVBand="0" w:oddHBand="0" w:evenHBand="0" w:firstRowFirstColumn="0" w:firstRowLastColumn="0" w:lastRowFirstColumn="0" w:lastRowLastColumn="0"/>
            <w:tcW w:w="5568" w:type="dxa"/>
          </w:tcPr>
          <w:p w14:paraId="2865A055" w14:textId="77777777" w:rsidR="009E0FFC" w:rsidRPr="00DF0B57" w:rsidRDefault="006B1808" w:rsidP="001B4B99">
            <w:pPr>
              <w:jc w:val="both"/>
            </w:pPr>
            <w:r w:rsidRPr="00DF0B57">
              <w:t>Temporal (durante un periodo temporal determinado)</w:t>
            </w:r>
          </w:p>
        </w:tc>
        <w:tc>
          <w:tcPr>
            <w:tcW w:w="1416" w:type="dxa"/>
          </w:tcPr>
          <w:p w14:paraId="5DC4B42B"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60</w:t>
            </w:r>
          </w:p>
        </w:tc>
        <w:tc>
          <w:tcPr>
            <w:tcW w:w="1229" w:type="dxa"/>
          </w:tcPr>
          <w:p w14:paraId="5E40C6E9"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16.9</w:t>
            </w:r>
          </w:p>
        </w:tc>
      </w:tr>
      <w:tr w:rsidR="00DF0B57" w:rsidRPr="00DF0B57" w14:paraId="39E1AEBF" w14:textId="77777777" w:rsidTr="009E419D">
        <w:trPr>
          <w:trHeight w:val="41"/>
          <w:jc w:val="center"/>
        </w:trPr>
        <w:tc>
          <w:tcPr>
            <w:cnfStyle w:val="001000000000" w:firstRow="0" w:lastRow="0" w:firstColumn="1" w:lastColumn="0" w:oddVBand="0" w:evenVBand="0" w:oddHBand="0" w:evenHBand="0" w:firstRowFirstColumn="0" w:firstRowLastColumn="0" w:lastRowFirstColumn="0" w:lastRowLastColumn="0"/>
            <w:tcW w:w="5568" w:type="dxa"/>
          </w:tcPr>
          <w:p w14:paraId="2349E64D" w14:textId="77777777" w:rsidR="009E0FFC" w:rsidRPr="00DF0B57" w:rsidRDefault="006B1808" w:rsidP="001B4B99">
            <w:pPr>
              <w:jc w:val="both"/>
            </w:pPr>
            <w:r w:rsidRPr="00DF0B57">
              <w:t>Eventual (es temporal debido a circunstancias imprevistas)</w:t>
            </w:r>
          </w:p>
        </w:tc>
        <w:tc>
          <w:tcPr>
            <w:tcW w:w="1416" w:type="dxa"/>
          </w:tcPr>
          <w:p w14:paraId="6514E885"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7</w:t>
            </w:r>
          </w:p>
        </w:tc>
        <w:tc>
          <w:tcPr>
            <w:tcW w:w="1229" w:type="dxa"/>
          </w:tcPr>
          <w:p w14:paraId="6E291A45"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2.0</w:t>
            </w:r>
          </w:p>
        </w:tc>
      </w:tr>
      <w:tr w:rsidR="00DF0B57" w:rsidRPr="00DF0B57" w14:paraId="55A6E2AF" w14:textId="77777777" w:rsidTr="009E419D">
        <w:trPr>
          <w:trHeight w:val="41"/>
          <w:jc w:val="center"/>
        </w:trPr>
        <w:tc>
          <w:tcPr>
            <w:cnfStyle w:val="001000000000" w:firstRow="0" w:lastRow="0" w:firstColumn="1" w:lastColumn="0" w:oddVBand="0" w:evenVBand="0" w:oddHBand="0" w:evenHBand="0" w:firstRowFirstColumn="0" w:firstRowLastColumn="0" w:lastRowFirstColumn="0" w:lastRowLastColumn="0"/>
            <w:tcW w:w="5568" w:type="dxa"/>
          </w:tcPr>
          <w:p w14:paraId="21F99B99" w14:textId="77777777" w:rsidR="009E0FFC" w:rsidRPr="00DF0B57" w:rsidRDefault="006B1808" w:rsidP="001B4B99">
            <w:pPr>
              <w:jc w:val="both"/>
            </w:pPr>
            <w:r w:rsidRPr="00DF0B57">
              <w:t>De interinato (Sustitución de un puesto vacante temporalmente)</w:t>
            </w:r>
          </w:p>
        </w:tc>
        <w:tc>
          <w:tcPr>
            <w:tcW w:w="1416" w:type="dxa"/>
          </w:tcPr>
          <w:p w14:paraId="7FD2F79F"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1</w:t>
            </w:r>
          </w:p>
        </w:tc>
        <w:tc>
          <w:tcPr>
            <w:tcW w:w="1229" w:type="dxa"/>
          </w:tcPr>
          <w:p w14:paraId="5B72940F"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0.3</w:t>
            </w:r>
          </w:p>
        </w:tc>
      </w:tr>
      <w:tr w:rsidR="00DF0B57" w:rsidRPr="00DF0B57" w14:paraId="4C17308D" w14:textId="77777777" w:rsidTr="009E419D">
        <w:trPr>
          <w:trHeight w:val="300"/>
          <w:jc w:val="center"/>
        </w:trPr>
        <w:tc>
          <w:tcPr>
            <w:cnfStyle w:val="001000000000" w:firstRow="0" w:lastRow="0" w:firstColumn="1" w:lastColumn="0" w:oddVBand="0" w:evenVBand="0" w:oddHBand="0" w:evenHBand="0" w:firstRowFirstColumn="0" w:firstRowLastColumn="0" w:lastRowFirstColumn="0" w:lastRowLastColumn="0"/>
            <w:tcW w:w="5568" w:type="dxa"/>
          </w:tcPr>
          <w:p w14:paraId="7E53283D" w14:textId="77777777" w:rsidR="009E0FFC" w:rsidRPr="00DF0B57" w:rsidRDefault="006B1808" w:rsidP="001B4B99">
            <w:pPr>
              <w:jc w:val="both"/>
            </w:pPr>
            <w:r w:rsidRPr="00DF0B57">
              <w:t>Sin contrato</w:t>
            </w:r>
          </w:p>
        </w:tc>
        <w:tc>
          <w:tcPr>
            <w:tcW w:w="1416" w:type="dxa"/>
          </w:tcPr>
          <w:p w14:paraId="573BB61A"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90</w:t>
            </w:r>
          </w:p>
        </w:tc>
        <w:tc>
          <w:tcPr>
            <w:tcW w:w="1229" w:type="dxa"/>
          </w:tcPr>
          <w:p w14:paraId="28C5ECB9"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25.4</w:t>
            </w:r>
          </w:p>
        </w:tc>
      </w:tr>
      <w:tr w:rsidR="00DF0B57" w:rsidRPr="00DF0B57" w14:paraId="1DF34451" w14:textId="77777777" w:rsidTr="009E419D">
        <w:trPr>
          <w:trHeight w:val="300"/>
          <w:jc w:val="center"/>
        </w:trPr>
        <w:tc>
          <w:tcPr>
            <w:cnfStyle w:val="001000000000" w:firstRow="0" w:lastRow="0" w:firstColumn="1" w:lastColumn="0" w:oddVBand="0" w:evenVBand="0" w:oddHBand="0" w:evenHBand="0" w:firstRowFirstColumn="0" w:firstRowLastColumn="0" w:lastRowFirstColumn="0" w:lastRowLastColumn="0"/>
            <w:tcW w:w="5568" w:type="dxa"/>
            <w:tcBorders>
              <w:bottom w:val="single" w:sz="4" w:space="0" w:color="000000"/>
            </w:tcBorders>
          </w:tcPr>
          <w:p w14:paraId="30AE65AB" w14:textId="77777777" w:rsidR="009E0FFC" w:rsidRPr="00DF0B57" w:rsidRDefault="006B1808" w:rsidP="001B4B99">
            <w:pPr>
              <w:jc w:val="both"/>
            </w:pPr>
            <w:r w:rsidRPr="00DF0B57">
              <w:t>Otros</w:t>
            </w:r>
          </w:p>
        </w:tc>
        <w:tc>
          <w:tcPr>
            <w:tcW w:w="1416" w:type="dxa"/>
            <w:tcBorders>
              <w:bottom w:val="single" w:sz="4" w:space="0" w:color="000000"/>
            </w:tcBorders>
          </w:tcPr>
          <w:p w14:paraId="2D7F1FCC"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13</w:t>
            </w:r>
          </w:p>
        </w:tc>
        <w:tc>
          <w:tcPr>
            <w:tcW w:w="1229" w:type="dxa"/>
            <w:tcBorders>
              <w:bottom w:val="single" w:sz="4" w:space="0" w:color="000000"/>
            </w:tcBorders>
          </w:tcPr>
          <w:p w14:paraId="00F3A450"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3.1</w:t>
            </w:r>
          </w:p>
        </w:tc>
      </w:tr>
      <w:tr w:rsidR="00DF0B57" w:rsidRPr="00DF0B57" w14:paraId="4618C196" w14:textId="77777777" w:rsidTr="009E419D">
        <w:trPr>
          <w:trHeight w:val="41"/>
          <w:jc w:val="center"/>
        </w:trPr>
        <w:tc>
          <w:tcPr>
            <w:cnfStyle w:val="001000000000" w:firstRow="0" w:lastRow="0" w:firstColumn="1" w:lastColumn="0" w:oddVBand="0" w:evenVBand="0" w:oddHBand="0" w:evenHBand="0" w:firstRowFirstColumn="0" w:firstRowLastColumn="0" w:lastRowFirstColumn="0" w:lastRowLastColumn="0"/>
            <w:tcW w:w="5568" w:type="dxa"/>
            <w:tcBorders>
              <w:top w:val="single" w:sz="4" w:space="0" w:color="000000"/>
              <w:bottom w:val="single" w:sz="4" w:space="0" w:color="000000"/>
            </w:tcBorders>
          </w:tcPr>
          <w:p w14:paraId="18909432" w14:textId="77777777" w:rsidR="009E0FFC" w:rsidRPr="00DF0B57" w:rsidRDefault="006B1808" w:rsidP="001B4B99">
            <w:pPr>
              <w:jc w:val="both"/>
            </w:pPr>
            <w:r w:rsidRPr="00DF0B57">
              <w:t xml:space="preserve">Total </w:t>
            </w:r>
          </w:p>
        </w:tc>
        <w:tc>
          <w:tcPr>
            <w:tcW w:w="1416" w:type="dxa"/>
            <w:tcBorders>
              <w:top w:val="single" w:sz="4" w:space="0" w:color="000000"/>
              <w:bottom w:val="single" w:sz="4" w:space="0" w:color="000000"/>
            </w:tcBorders>
          </w:tcPr>
          <w:p w14:paraId="7D920D0D"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356</w:t>
            </w:r>
          </w:p>
        </w:tc>
        <w:tc>
          <w:tcPr>
            <w:tcW w:w="1229" w:type="dxa"/>
            <w:tcBorders>
              <w:top w:val="single" w:sz="4" w:space="0" w:color="000000"/>
              <w:bottom w:val="single" w:sz="4" w:space="0" w:color="000000"/>
            </w:tcBorders>
          </w:tcPr>
          <w:p w14:paraId="670BADD5"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100.0</w:t>
            </w:r>
          </w:p>
        </w:tc>
      </w:tr>
    </w:tbl>
    <w:p w14:paraId="3EC75EF9" w14:textId="3B7DA6EF" w:rsidR="009E0FFC" w:rsidRPr="00DF0B57" w:rsidRDefault="009417B0" w:rsidP="009417B0">
      <w:pPr>
        <w:spacing w:line="240" w:lineRule="auto"/>
        <w:jc w:val="center"/>
        <w:rPr>
          <w:rFonts w:ascii="Times New Roman" w:eastAsia="Times New Roman" w:hAnsi="Times New Roman" w:cs="Times New Roman"/>
          <w:sz w:val="24"/>
          <w:szCs w:val="24"/>
        </w:rPr>
      </w:pPr>
      <w:r w:rsidRPr="009417B0">
        <w:rPr>
          <w:rFonts w:ascii="Times New Roman" w:eastAsia="Times New Roman" w:hAnsi="Times New Roman" w:cs="Times New Roman"/>
          <w:b/>
          <w:bCs/>
          <w:sz w:val="24"/>
          <w:szCs w:val="24"/>
        </w:rPr>
        <w:t>Fuente:</w:t>
      </w:r>
      <w:r>
        <w:rPr>
          <w:rFonts w:ascii="Times New Roman" w:eastAsia="Times New Roman" w:hAnsi="Times New Roman" w:cs="Times New Roman"/>
          <w:sz w:val="24"/>
          <w:szCs w:val="24"/>
        </w:rPr>
        <w:t xml:space="preserve"> Elaboración propia c</w:t>
      </w:r>
      <w:r w:rsidRPr="00DF0B57">
        <w:rPr>
          <w:rFonts w:ascii="Times New Roman" w:eastAsia="Times New Roman" w:hAnsi="Times New Roman" w:cs="Times New Roman"/>
          <w:sz w:val="24"/>
          <w:szCs w:val="24"/>
        </w:rPr>
        <w:t xml:space="preserve">on </w:t>
      </w:r>
      <w:r w:rsidR="006B1808" w:rsidRPr="00DF0B57">
        <w:rPr>
          <w:rFonts w:ascii="Times New Roman" w:eastAsia="Times New Roman" w:hAnsi="Times New Roman" w:cs="Times New Roman"/>
          <w:sz w:val="24"/>
          <w:szCs w:val="24"/>
        </w:rPr>
        <w:t>base en encuesta online, abril-julio, 2020</w:t>
      </w:r>
    </w:p>
    <w:p w14:paraId="01935B3D" w14:textId="77777777" w:rsidR="009E0FFC" w:rsidRPr="00DF0B57" w:rsidRDefault="009E0FFC" w:rsidP="001B4B99">
      <w:pPr>
        <w:spacing w:line="240" w:lineRule="auto"/>
        <w:jc w:val="both"/>
        <w:rPr>
          <w:rFonts w:ascii="Times New Roman" w:eastAsia="Times New Roman" w:hAnsi="Times New Roman" w:cs="Times New Roman"/>
          <w:sz w:val="24"/>
          <w:szCs w:val="24"/>
        </w:rPr>
      </w:pPr>
    </w:p>
    <w:p w14:paraId="0D1FF267" w14:textId="77777777" w:rsidR="009E0FFC" w:rsidRPr="00DF0B57" w:rsidRDefault="006B1808" w:rsidP="001B4B99">
      <w:pPr>
        <w:spacing w:line="24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lastRenderedPageBreak/>
        <w:t>En la figura 1 se observa en primer lugar con un 43.8% que los gastos de la vivienda recaen en una persona, el 38.7% mencionó que este gasto es entre dos y finalmente con 17.5% que se comparten los gastos entre tres.</w:t>
      </w:r>
    </w:p>
    <w:p w14:paraId="1DA31896" w14:textId="77777777" w:rsidR="009E0FFC" w:rsidRPr="00DF0B57" w:rsidRDefault="009E0FFC" w:rsidP="001B4B99">
      <w:pPr>
        <w:spacing w:line="240" w:lineRule="auto"/>
        <w:jc w:val="both"/>
        <w:rPr>
          <w:rFonts w:ascii="Times New Roman" w:eastAsia="Times New Roman" w:hAnsi="Times New Roman" w:cs="Times New Roman"/>
          <w:sz w:val="24"/>
          <w:szCs w:val="24"/>
        </w:rPr>
      </w:pPr>
    </w:p>
    <w:p w14:paraId="47DB80C4" w14:textId="77777777" w:rsidR="009E0FFC" w:rsidRPr="00DF0B57" w:rsidRDefault="006B1808" w:rsidP="001B4B99">
      <w:pPr>
        <w:spacing w:line="240" w:lineRule="auto"/>
        <w:ind w:firstLine="720"/>
        <w:jc w:val="both"/>
        <w:rPr>
          <w:rFonts w:ascii="Times New Roman" w:eastAsia="Times New Roman" w:hAnsi="Times New Roman" w:cs="Times New Roman"/>
          <w:b/>
          <w:sz w:val="24"/>
          <w:szCs w:val="24"/>
        </w:rPr>
      </w:pPr>
      <w:r w:rsidRPr="00DF0B57">
        <w:rPr>
          <w:rFonts w:ascii="Times New Roman" w:eastAsia="Times New Roman" w:hAnsi="Times New Roman" w:cs="Times New Roman"/>
          <w:b/>
          <w:sz w:val="24"/>
          <w:szCs w:val="24"/>
        </w:rPr>
        <w:t>Figura 1</w:t>
      </w:r>
      <w:r w:rsidRPr="00DF0B57">
        <w:rPr>
          <w:rFonts w:ascii="Times New Roman" w:eastAsia="Times New Roman" w:hAnsi="Times New Roman" w:cs="Times New Roman"/>
          <w:b/>
          <w:sz w:val="24"/>
          <w:szCs w:val="24"/>
        </w:rPr>
        <w:tab/>
        <w:t xml:space="preserve"> </w:t>
      </w:r>
    </w:p>
    <w:p w14:paraId="4AE7C1EC" w14:textId="77777777" w:rsidR="009E0FFC" w:rsidRPr="00DF0B57" w:rsidRDefault="006B1808" w:rsidP="001B4B99">
      <w:pPr>
        <w:spacing w:line="240" w:lineRule="auto"/>
        <w:ind w:firstLine="720"/>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Cantidad de Personas que Contribuyen al Gasto del Hogar</w:t>
      </w:r>
    </w:p>
    <w:p w14:paraId="38074D4E" w14:textId="77777777" w:rsidR="009E0FFC" w:rsidRPr="00DF0B57" w:rsidRDefault="006B1808" w:rsidP="009E419D">
      <w:pPr>
        <w:spacing w:line="240" w:lineRule="auto"/>
        <w:jc w:val="center"/>
        <w:rPr>
          <w:rFonts w:ascii="Times New Roman" w:eastAsia="Times New Roman" w:hAnsi="Times New Roman" w:cs="Times New Roman"/>
          <w:sz w:val="24"/>
          <w:szCs w:val="24"/>
        </w:rPr>
      </w:pPr>
      <w:r w:rsidRPr="00DF0B57">
        <w:rPr>
          <w:rFonts w:ascii="Times New Roman" w:eastAsia="Times New Roman" w:hAnsi="Times New Roman" w:cs="Times New Roman"/>
          <w:noProof/>
          <w:sz w:val="24"/>
          <w:szCs w:val="24"/>
          <w:lang w:eastAsia="es-MX"/>
        </w:rPr>
        <w:drawing>
          <wp:inline distT="0" distB="0" distL="0" distR="0" wp14:anchorId="47D4B50D" wp14:editId="463299A0">
            <wp:extent cx="4467225" cy="2827020"/>
            <wp:effectExtent l="0" t="0" r="0" b="0"/>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B2D899F" w14:textId="106C2603" w:rsidR="009E0FFC" w:rsidRPr="00DF0B57" w:rsidRDefault="009417B0" w:rsidP="009417B0">
      <w:pPr>
        <w:spacing w:line="240" w:lineRule="auto"/>
        <w:jc w:val="center"/>
        <w:rPr>
          <w:rFonts w:ascii="Times New Roman" w:eastAsia="Times New Roman" w:hAnsi="Times New Roman" w:cs="Times New Roman"/>
          <w:sz w:val="24"/>
          <w:szCs w:val="24"/>
        </w:rPr>
      </w:pPr>
      <w:r w:rsidRPr="009417B0">
        <w:rPr>
          <w:rFonts w:ascii="Times New Roman" w:eastAsia="Times New Roman" w:hAnsi="Times New Roman" w:cs="Times New Roman"/>
          <w:b/>
          <w:bCs/>
          <w:sz w:val="24"/>
          <w:szCs w:val="24"/>
        </w:rPr>
        <w:t>Fuente:</w:t>
      </w:r>
      <w:r>
        <w:rPr>
          <w:rFonts w:ascii="Times New Roman" w:eastAsia="Times New Roman" w:hAnsi="Times New Roman" w:cs="Times New Roman"/>
          <w:sz w:val="24"/>
          <w:szCs w:val="24"/>
        </w:rPr>
        <w:t xml:space="preserve"> Elaboración propia c</w:t>
      </w:r>
      <w:r w:rsidRPr="00DF0B57">
        <w:rPr>
          <w:rFonts w:ascii="Times New Roman" w:eastAsia="Times New Roman" w:hAnsi="Times New Roman" w:cs="Times New Roman"/>
          <w:sz w:val="24"/>
          <w:szCs w:val="24"/>
        </w:rPr>
        <w:t xml:space="preserve">on </w:t>
      </w:r>
      <w:r w:rsidR="006B1808" w:rsidRPr="00DF0B57">
        <w:rPr>
          <w:rFonts w:ascii="Times New Roman" w:eastAsia="Times New Roman" w:hAnsi="Times New Roman" w:cs="Times New Roman"/>
          <w:sz w:val="24"/>
          <w:szCs w:val="24"/>
        </w:rPr>
        <w:t>base en encuesta online, abril-julio, 2020</w:t>
      </w:r>
    </w:p>
    <w:p w14:paraId="6D055BE5" w14:textId="77777777" w:rsidR="009E0FFC" w:rsidRPr="00DF0B57" w:rsidRDefault="009E0FFC" w:rsidP="001B4B99">
      <w:pPr>
        <w:spacing w:line="240" w:lineRule="auto"/>
        <w:jc w:val="both"/>
        <w:rPr>
          <w:rFonts w:ascii="Times New Roman" w:eastAsia="Times New Roman" w:hAnsi="Times New Roman" w:cs="Times New Roman"/>
          <w:sz w:val="24"/>
          <w:szCs w:val="24"/>
        </w:rPr>
      </w:pPr>
    </w:p>
    <w:p w14:paraId="01A356CF" w14:textId="77777777" w:rsidR="009E0FFC" w:rsidRPr="00DF0B57" w:rsidRDefault="006B1808" w:rsidP="001B4B99">
      <w:pPr>
        <w:spacing w:line="24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En la figura 2 se observa que un 24.3% de los encuestados percibía más de $9500 de ingresos mensuales para la vivienda, 20.9% un ingreso de $1851.00 y $3702.00, ese mismo porcentaje recibían hasta $5553.00. mensuales.</w:t>
      </w:r>
    </w:p>
    <w:p w14:paraId="7245E4FD" w14:textId="77777777" w:rsidR="009E0FFC" w:rsidRPr="00DF0B57" w:rsidRDefault="009E0FFC" w:rsidP="001B4B99">
      <w:pPr>
        <w:spacing w:line="240" w:lineRule="auto"/>
        <w:ind w:firstLine="720"/>
        <w:jc w:val="both"/>
        <w:rPr>
          <w:rFonts w:ascii="Times New Roman" w:eastAsia="Times New Roman" w:hAnsi="Times New Roman" w:cs="Times New Roman"/>
          <w:b/>
          <w:sz w:val="24"/>
          <w:szCs w:val="24"/>
        </w:rPr>
      </w:pPr>
    </w:p>
    <w:p w14:paraId="7E6EBB0A" w14:textId="77777777" w:rsidR="009E0FFC" w:rsidRPr="00DF0B57" w:rsidRDefault="009E0FFC" w:rsidP="001B4B99">
      <w:pPr>
        <w:spacing w:line="240" w:lineRule="auto"/>
        <w:ind w:firstLine="720"/>
        <w:jc w:val="both"/>
        <w:rPr>
          <w:rFonts w:ascii="Times New Roman" w:eastAsia="Times New Roman" w:hAnsi="Times New Roman" w:cs="Times New Roman"/>
          <w:b/>
          <w:sz w:val="24"/>
          <w:szCs w:val="24"/>
        </w:rPr>
      </w:pPr>
    </w:p>
    <w:p w14:paraId="790A610C" w14:textId="77777777" w:rsidR="009E0FFC" w:rsidRPr="00DF0B57" w:rsidRDefault="009E0FFC" w:rsidP="001B4B99">
      <w:pPr>
        <w:spacing w:line="240" w:lineRule="auto"/>
        <w:ind w:firstLine="720"/>
        <w:jc w:val="both"/>
        <w:rPr>
          <w:rFonts w:ascii="Times New Roman" w:eastAsia="Times New Roman" w:hAnsi="Times New Roman" w:cs="Times New Roman"/>
          <w:b/>
          <w:sz w:val="24"/>
          <w:szCs w:val="24"/>
        </w:rPr>
      </w:pPr>
    </w:p>
    <w:p w14:paraId="1E39F14A" w14:textId="2461BF99" w:rsidR="009E0FFC" w:rsidRDefault="009E0FFC" w:rsidP="001B4B99">
      <w:pPr>
        <w:spacing w:line="240" w:lineRule="auto"/>
        <w:jc w:val="both"/>
        <w:rPr>
          <w:rFonts w:ascii="Times New Roman" w:eastAsia="Times New Roman" w:hAnsi="Times New Roman" w:cs="Times New Roman"/>
          <w:b/>
          <w:sz w:val="24"/>
          <w:szCs w:val="24"/>
        </w:rPr>
      </w:pPr>
    </w:p>
    <w:p w14:paraId="55001298" w14:textId="7ED62C07" w:rsidR="001B67D4" w:rsidRDefault="001B67D4" w:rsidP="001B4B99">
      <w:pPr>
        <w:spacing w:line="240" w:lineRule="auto"/>
        <w:jc w:val="both"/>
        <w:rPr>
          <w:rFonts w:ascii="Times New Roman" w:eastAsia="Times New Roman" w:hAnsi="Times New Roman" w:cs="Times New Roman"/>
          <w:b/>
          <w:sz w:val="24"/>
          <w:szCs w:val="24"/>
        </w:rPr>
      </w:pPr>
    </w:p>
    <w:p w14:paraId="79640E70" w14:textId="67A119E7" w:rsidR="001B67D4" w:rsidRDefault="001B67D4" w:rsidP="001B4B99">
      <w:pPr>
        <w:spacing w:line="240" w:lineRule="auto"/>
        <w:jc w:val="both"/>
        <w:rPr>
          <w:rFonts w:ascii="Times New Roman" w:eastAsia="Times New Roman" w:hAnsi="Times New Roman" w:cs="Times New Roman"/>
          <w:b/>
          <w:sz w:val="24"/>
          <w:szCs w:val="24"/>
        </w:rPr>
      </w:pPr>
    </w:p>
    <w:p w14:paraId="2A6B953A" w14:textId="7C489188" w:rsidR="009E419D" w:rsidRDefault="009E419D" w:rsidP="001B4B99">
      <w:pPr>
        <w:spacing w:line="240" w:lineRule="auto"/>
        <w:jc w:val="both"/>
        <w:rPr>
          <w:rFonts w:ascii="Times New Roman" w:eastAsia="Times New Roman" w:hAnsi="Times New Roman" w:cs="Times New Roman"/>
          <w:b/>
          <w:sz w:val="24"/>
          <w:szCs w:val="24"/>
        </w:rPr>
      </w:pPr>
    </w:p>
    <w:p w14:paraId="070408D8" w14:textId="40D3F274" w:rsidR="009E419D" w:rsidRDefault="009E419D" w:rsidP="001B4B99">
      <w:pPr>
        <w:spacing w:line="240" w:lineRule="auto"/>
        <w:jc w:val="both"/>
        <w:rPr>
          <w:rFonts w:ascii="Times New Roman" w:eastAsia="Times New Roman" w:hAnsi="Times New Roman" w:cs="Times New Roman"/>
          <w:b/>
          <w:sz w:val="24"/>
          <w:szCs w:val="24"/>
        </w:rPr>
      </w:pPr>
    </w:p>
    <w:p w14:paraId="1E091785" w14:textId="5DD818D0" w:rsidR="009E419D" w:rsidRDefault="009E419D" w:rsidP="001B4B99">
      <w:pPr>
        <w:spacing w:line="240" w:lineRule="auto"/>
        <w:jc w:val="both"/>
        <w:rPr>
          <w:rFonts w:ascii="Times New Roman" w:eastAsia="Times New Roman" w:hAnsi="Times New Roman" w:cs="Times New Roman"/>
          <w:b/>
          <w:sz w:val="24"/>
          <w:szCs w:val="24"/>
        </w:rPr>
      </w:pPr>
    </w:p>
    <w:p w14:paraId="463CD90D" w14:textId="275F9A5F" w:rsidR="009E419D" w:rsidRDefault="009E419D" w:rsidP="001B4B99">
      <w:pPr>
        <w:spacing w:line="240" w:lineRule="auto"/>
        <w:jc w:val="both"/>
        <w:rPr>
          <w:rFonts w:ascii="Times New Roman" w:eastAsia="Times New Roman" w:hAnsi="Times New Roman" w:cs="Times New Roman"/>
          <w:b/>
          <w:sz w:val="24"/>
          <w:szCs w:val="24"/>
        </w:rPr>
      </w:pPr>
    </w:p>
    <w:p w14:paraId="19B1EF67" w14:textId="77777777" w:rsidR="009E419D" w:rsidRDefault="009E419D" w:rsidP="001B4B99">
      <w:pPr>
        <w:spacing w:line="240" w:lineRule="auto"/>
        <w:jc w:val="both"/>
        <w:rPr>
          <w:rFonts w:ascii="Times New Roman" w:eastAsia="Times New Roman" w:hAnsi="Times New Roman" w:cs="Times New Roman"/>
          <w:b/>
          <w:sz w:val="24"/>
          <w:szCs w:val="24"/>
        </w:rPr>
      </w:pPr>
    </w:p>
    <w:p w14:paraId="2FEA54F6" w14:textId="77777777" w:rsidR="009E0FFC" w:rsidRPr="00DF0B57" w:rsidRDefault="006B1808" w:rsidP="001B4B99">
      <w:pPr>
        <w:spacing w:line="240" w:lineRule="auto"/>
        <w:ind w:firstLine="720"/>
        <w:jc w:val="both"/>
        <w:rPr>
          <w:rFonts w:ascii="Times New Roman" w:eastAsia="Times New Roman" w:hAnsi="Times New Roman" w:cs="Times New Roman"/>
          <w:b/>
          <w:sz w:val="24"/>
          <w:szCs w:val="24"/>
        </w:rPr>
      </w:pPr>
      <w:r w:rsidRPr="00DF0B57">
        <w:rPr>
          <w:rFonts w:ascii="Times New Roman" w:eastAsia="Times New Roman" w:hAnsi="Times New Roman" w:cs="Times New Roman"/>
          <w:b/>
          <w:sz w:val="24"/>
          <w:szCs w:val="24"/>
        </w:rPr>
        <w:lastRenderedPageBreak/>
        <w:t>Figura 2</w:t>
      </w:r>
      <w:r w:rsidRPr="00DF0B57">
        <w:rPr>
          <w:rFonts w:ascii="Times New Roman" w:eastAsia="Times New Roman" w:hAnsi="Times New Roman" w:cs="Times New Roman"/>
          <w:b/>
          <w:sz w:val="24"/>
          <w:szCs w:val="24"/>
        </w:rPr>
        <w:tab/>
      </w:r>
    </w:p>
    <w:p w14:paraId="4BCA3A3B" w14:textId="77777777" w:rsidR="009E0FFC" w:rsidRPr="00DF0B57" w:rsidRDefault="006B1808" w:rsidP="001B4B99">
      <w:pPr>
        <w:spacing w:line="240" w:lineRule="auto"/>
        <w:ind w:firstLine="720"/>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Rango de ingresos Mensuales Antes de la Contingencia</w:t>
      </w:r>
    </w:p>
    <w:p w14:paraId="2828D39C" w14:textId="77777777" w:rsidR="009E0FFC" w:rsidRPr="00DF0B57" w:rsidRDefault="006B1808" w:rsidP="009E419D">
      <w:pPr>
        <w:spacing w:line="240" w:lineRule="auto"/>
        <w:jc w:val="center"/>
        <w:rPr>
          <w:rFonts w:ascii="Times New Roman" w:eastAsia="Times New Roman" w:hAnsi="Times New Roman" w:cs="Times New Roman"/>
          <w:b/>
          <w:sz w:val="24"/>
          <w:szCs w:val="24"/>
        </w:rPr>
      </w:pPr>
      <w:r w:rsidRPr="00DF0B57">
        <w:rPr>
          <w:rFonts w:ascii="Times New Roman" w:eastAsia="Times New Roman" w:hAnsi="Times New Roman" w:cs="Times New Roman"/>
          <w:noProof/>
          <w:sz w:val="24"/>
          <w:szCs w:val="24"/>
          <w:lang w:eastAsia="es-MX"/>
        </w:rPr>
        <w:drawing>
          <wp:inline distT="0" distB="0" distL="0" distR="0" wp14:anchorId="1E3C6A2A" wp14:editId="0EC19B56">
            <wp:extent cx="5348004" cy="2911252"/>
            <wp:effectExtent l="0" t="0" r="0" b="0"/>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14AC9E9" w14:textId="5A4ABB4A" w:rsidR="009E0FFC" w:rsidRPr="00DF0B57" w:rsidRDefault="009417B0" w:rsidP="009417B0">
      <w:pPr>
        <w:spacing w:line="240" w:lineRule="auto"/>
        <w:ind w:firstLine="708"/>
        <w:jc w:val="center"/>
        <w:rPr>
          <w:rFonts w:ascii="Times New Roman" w:eastAsia="Times New Roman" w:hAnsi="Times New Roman" w:cs="Times New Roman"/>
          <w:sz w:val="24"/>
          <w:szCs w:val="24"/>
        </w:rPr>
      </w:pPr>
      <w:r w:rsidRPr="009417B0">
        <w:rPr>
          <w:rFonts w:ascii="Times New Roman" w:eastAsia="Times New Roman" w:hAnsi="Times New Roman" w:cs="Times New Roman"/>
          <w:b/>
          <w:bCs/>
          <w:sz w:val="24"/>
          <w:szCs w:val="24"/>
        </w:rPr>
        <w:t>Fuente:</w:t>
      </w:r>
      <w:r>
        <w:rPr>
          <w:rFonts w:ascii="Times New Roman" w:eastAsia="Times New Roman" w:hAnsi="Times New Roman" w:cs="Times New Roman"/>
          <w:sz w:val="24"/>
          <w:szCs w:val="24"/>
        </w:rPr>
        <w:t xml:space="preserve"> Elaboración propia c</w:t>
      </w:r>
      <w:r w:rsidRPr="00DF0B57">
        <w:rPr>
          <w:rFonts w:ascii="Times New Roman" w:eastAsia="Times New Roman" w:hAnsi="Times New Roman" w:cs="Times New Roman"/>
          <w:sz w:val="24"/>
          <w:szCs w:val="24"/>
        </w:rPr>
        <w:t xml:space="preserve">on </w:t>
      </w:r>
      <w:r w:rsidR="006B1808" w:rsidRPr="00DF0B57">
        <w:rPr>
          <w:rFonts w:ascii="Times New Roman" w:eastAsia="Times New Roman" w:hAnsi="Times New Roman" w:cs="Times New Roman"/>
          <w:sz w:val="24"/>
          <w:szCs w:val="24"/>
        </w:rPr>
        <w:t>base en encuesta online, abril-julio, 2020</w:t>
      </w:r>
    </w:p>
    <w:p w14:paraId="6D30B8FF" w14:textId="5A3A016E" w:rsidR="009E0FFC" w:rsidRPr="00DF0B57" w:rsidRDefault="006B1808" w:rsidP="001B4B99">
      <w:pPr>
        <w:spacing w:line="24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Respecto a la vivienda donde reside</w:t>
      </w:r>
      <w:r w:rsidR="008F05A0">
        <w:rPr>
          <w:rFonts w:ascii="Times New Roman" w:eastAsia="Times New Roman" w:hAnsi="Times New Roman" w:cs="Times New Roman"/>
          <w:sz w:val="24"/>
          <w:szCs w:val="24"/>
        </w:rPr>
        <w:t>n los entrevistados al momento de la aplicación del instrumento</w:t>
      </w:r>
      <w:r w:rsidRPr="00DF0B57">
        <w:rPr>
          <w:rFonts w:ascii="Times New Roman" w:eastAsia="Times New Roman" w:hAnsi="Times New Roman" w:cs="Times New Roman"/>
          <w:sz w:val="24"/>
          <w:szCs w:val="24"/>
        </w:rPr>
        <w:t>, un 43.8% dijo que es casa propia, un 36.2% renta la vivienda, un 9.9.% está pagando la vivienda. Se observa que el 46% tiene un gasto mensual por pago de vivienda. Ver figura 3.  Un 82.2% de los encuestados refieren que sus ingresos disminuyeron, un 13.6% que todo sigue igual y un 4% percibe un aumento.</w:t>
      </w:r>
    </w:p>
    <w:p w14:paraId="0671A5B0" w14:textId="77777777" w:rsidR="009E0FFC" w:rsidRPr="00DF0B57" w:rsidRDefault="006B1808" w:rsidP="001B4B99">
      <w:pPr>
        <w:spacing w:line="240" w:lineRule="auto"/>
        <w:ind w:firstLine="720"/>
        <w:jc w:val="both"/>
        <w:rPr>
          <w:rFonts w:ascii="Times New Roman" w:eastAsia="Times New Roman" w:hAnsi="Times New Roman" w:cs="Times New Roman"/>
          <w:b/>
          <w:sz w:val="24"/>
          <w:szCs w:val="24"/>
        </w:rPr>
      </w:pPr>
      <w:r w:rsidRPr="00DF0B57">
        <w:rPr>
          <w:rFonts w:ascii="Times New Roman" w:eastAsia="Times New Roman" w:hAnsi="Times New Roman" w:cs="Times New Roman"/>
          <w:b/>
          <w:sz w:val="24"/>
          <w:szCs w:val="24"/>
        </w:rPr>
        <w:t>Figura 3</w:t>
      </w:r>
    </w:p>
    <w:p w14:paraId="50EDF3B4" w14:textId="77777777" w:rsidR="009E0FFC" w:rsidRPr="00DF0B57" w:rsidRDefault="006B1808" w:rsidP="001B4B99">
      <w:pPr>
        <w:spacing w:line="240" w:lineRule="auto"/>
        <w:ind w:firstLine="720"/>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Situación de la Vivienda donde Reside</w:t>
      </w:r>
    </w:p>
    <w:p w14:paraId="53AB2505" w14:textId="77777777" w:rsidR="009E0FFC" w:rsidRPr="00DF0B57" w:rsidRDefault="006B1808" w:rsidP="009E419D">
      <w:pPr>
        <w:spacing w:line="240" w:lineRule="auto"/>
        <w:jc w:val="center"/>
        <w:rPr>
          <w:rFonts w:ascii="Times New Roman" w:eastAsia="Times New Roman" w:hAnsi="Times New Roman" w:cs="Times New Roman"/>
          <w:b/>
          <w:sz w:val="24"/>
          <w:szCs w:val="24"/>
        </w:rPr>
      </w:pPr>
      <w:r w:rsidRPr="00DF0B57">
        <w:rPr>
          <w:rFonts w:ascii="Times New Roman" w:eastAsia="Times New Roman" w:hAnsi="Times New Roman" w:cs="Times New Roman"/>
          <w:noProof/>
          <w:sz w:val="24"/>
          <w:szCs w:val="24"/>
          <w:lang w:eastAsia="es-MX"/>
        </w:rPr>
        <w:drawing>
          <wp:inline distT="0" distB="0" distL="0" distR="0" wp14:anchorId="3470F00F" wp14:editId="6BB643AB">
            <wp:extent cx="4238059" cy="2263758"/>
            <wp:effectExtent l="0" t="0" r="0" b="0"/>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B8087B" w14:textId="63B2E240" w:rsidR="009E0FFC" w:rsidRPr="00DF0B57" w:rsidRDefault="009417B0" w:rsidP="009417B0">
      <w:pPr>
        <w:spacing w:line="240" w:lineRule="auto"/>
        <w:jc w:val="center"/>
        <w:rPr>
          <w:rFonts w:ascii="Times New Roman" w:eastAsia="Times New Roman" w:hAnsi="Times New Roman" w:cs="Times New Roman"/>
          <w:sz w:val="24"/>
          <w:szCs w:val="24"/>
        </w:rPr>
      </w:pPr>
      <w:r w:rsidRPr="009417B0">
        <w:rPr>
          <w:rFonts w:ascii="Times New Roman" w:eastAsia="Times New Roman" w:hAnsi="Times New Roman" w:cs="Times New Roman"/>
          <w:b/>
          <w:bCs/>
          <w:sz w:val="24"/>
          <w:szCs w:val="24"/>
        </w:rPr>
        <w:t>Fuente:</w:t>
      </w:r>
      <w:r>
        <w:rPr>
          <w:rFonts w:ascii="Times New Roman" w:eastAsia="Times New Roman" w:hAnsi="Times New Roman" w:cs="Times New Roman"/>
          <w:sz w:val="24"/>
          <w:szCs w:val="24"/>
        </w:rPr>
        <w:t xml:space="preserve"> Elaboración propia c</w:t>
      </w:r>
      <w:r w:rsidRPr="00DF0B57">
        <w:rPr>
          <w:rFonts w:ascii="Times New Roman" w:eastAsia="Times New Roman" w:hAnsi="Times New Roman" w:cs="Times New Roman"/>
          <w:sz w:val="24"/>
          <w:szCs w:val="24"/>
        </w:rPr>
        <w:t xml:space="preserve">on </w:t>
      </w:r>
      <w:r w:rsidR="006B1808" w:rsidRPr="00DF0B57">
        <w:rPr>
          <w:rFonts w:ascii="Times New Roman" w:eastAsia="Times New Roman" w:hAnsi="Times New Roman" w:cs="Times New Roman"/>
          <w:sz w:val="24"/>
          <w:szCs w:val="24"/>
        </w:rPr>
        <w:t>base en encuesta online, abril-julio, 2020</w:t>
      </w:r>
    </w:p>
    <w:p w14:paraId="1A2A4475" w14:textId="74527B87" w:rsidR="009E0FFC" w:rsidRPr="00DF0B57" w:rsidRDefault="006B1808" w:rsidP="001B4B99">
      <w:pPr>
        <w:spacing w:line="24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Los gastos mensuales del 24.9% de los encuestados son de $3703 a $5553 pesos mexicanos, un 22.6% respondió que tiene gastos mensuales de entre $1851 a 3702.00 M/</w:t>
      </w:r>
      <w:proofErr w:type="gramStart"/>
      <w:r w:rsidRPr="00DF0B57">
        <w:rPr>
          <w:rFonts w:ascii="Times New Roman" w:eastAsia="Times New Roman" w:hAnsi="Times New Roman" w:cs="Times New Roman"/>
          <w:sz w:val="24"/>
          <w:szCs w:val="24"/>
        </w:rPr>
        <w:t>N</w:t>
      </w:r>
      <w:proofErr w:type="gramEnd"/>
      <w:r w:rsidRPr="00DF0B57">
        <w:rPr>
          <w:rFonts w:ascii="Times New Roman" w:eastAsia="Times New Roman" w:hAnsi="Times New Roman" w:cs="Times New Roman"/>
          <w:sz w:val="24"/>
          <w:szCs w:val="24"/>
        </w:rPr>
        <w:t xml:space="preserve"> pero hay un 13% que mencionó tener gastos mensuales por más de $9500.00M/N. Ver figura 4. Aunado a lo anterior se evidenció que </w:t>
      </w:r>
      <w:r w:rsidRPr="00DF0B57">
        <w:rPr>
          <w:rFonts w:ascii="Times New Roman" w:eastAsia="Times New Roman" w:hAnsi="Times New Roman" w:cs="Times New Roman"/>
          <w:sz w:val="24"/>
          <w:szCs w:val="24"/>
        </w:rPr>
        <w:lastRenderedPageBreak/>
        <w:t xml:space="preserve">un 70% de los encuestados no tiene ingresos extras (por cualquier otro motivo que no sea salario </w:t>
      </w:r>
      <w:r w:rsidR="009417B0" w:rsidRPr="00DF0B57">
        <w:rPr>
          <w:rFonts w:ascii="Times New Roman" w:eastAsia="Times New Roman" w:hAnsi="Times New Roman" w:cs="Times New Roman"/>
          <w:sz w:val="24"/>
          <w:szCs w:val="24"/>
        </w:rPr>
        <w:t>del trabajo</w:t>
      </w:r>
      <w:r w:rsidRPr="00DF0B57">
        <w:rPr>
          <w:rFonts w:ascii="Times New Roman" w:eastAsia="Times New Roman" w:hAnsi="Times New Roman" w:cs="Times New Roman"/>
          <w:sz w:val="24"/>
          <w:szCs w:val="24"/>
        </w:rPr>
        <w:t xml:space="preserve"> en el sector turístico).</w:t>
      </w:r>
    </w:p>
    <w:p w14:paraId="6290F3F3" w14:textId="0AA24F5B" w:rsidR="009E0FFC" w:rsidRDefault="009E0FFC" w:rsidP="001B4B99">
      <w:pPr>
        <w:spacing w:line="240" w:lineRule="auto"/>
        <w:jc w:val="both"/>
        <w:rPr>
          <w:rFonts w:ascii="Times New Roman" w:eastAsia="Times New Roman" w:hAnsi="Times New Roman" w:cs="Times New Roman"/>
          <w:b/>
          <w:sz w:val="24"/>
          <w:szCs w:val="24"/>
        </w:rPr>
      </w:pPr>
    </w:p>
    <w:p w14:paraId="02A63428" w14:textId="77777777" w:rsidR="009E0FFC" w:rsidRPr="00DF0B57" w:rsidRDefault="006B1808" w:rsidP="001B4B99">
      <w:pPr>
        <w:spacing w:line="240" w:lineRule="auto"/>
        <w:jc w:val="both"/>
        <w:rPr>
          <w:rFonts w:ascii="Times New Roman" w:eastAsia="Times New Roman" w:hAnsi="Times New Roman" w:cs="Times New Roman"/>
          <w:b/>
          <w:sz w:val="24"/>
          <w:szCs w:val="24"/>
        </w:rPr>
      </w:pPr>
      <w:r w:rsidRPr="00DF0B57">
        <w:rPr>
          <w:rFonts w:ascii="Times New Roman" w:eastAsia="Times New Roman" w:hAnsi="Times New Roman" w:cs="Times New Roman"/>
          <w:b/>
          <w:sz w:val="24"/>
          <w:szCs w:val="24"/>
        </w:rPr>
        <w:t>Figura 4</w:t>
      </w:r>
      <w:r w:rsidRPr="00DF0B57">
        <w:rPr>
          <w:rFonts w:ascii="Times New Roman" w:eastAsia="Times New Roman" w:hAnsi="Times New Roman" w:cs="Times New Roman"/>
          <w:b/>
          <w:sz w:val="24"/>
          <w:szCs w:val="24"/>
        </w:rPr>
        <w:tab/>
      </w:r>
    </w:p>
    <w:p w14:paraId="3D2B9E66" w14:textId="77777777" w:rsidR="009E0FFC" w:rsidRPr="00DF0B57" w:rsidRDefault="006B1808" w:rsidP="001B4B99">
      <w:pPr>
        <w:spacing w:line="24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Rango de Gastos Mensuales</w:t>
      </w:r>
    </w:p>
    <w:p w14:paraId="4D688DEA" w14:textId="77777777" w:rsidR="009E0FFC" w:rsidRPr="00DF0B57" w:rsidRDefault="009E0FFC" w:rsidP="001B4B99">
      <w:pPr>
        <w:spacing w:line="240" w:lineRule="auto"/>
        <w:jc w:val="both"/>
        <w:rPr>
          <w:rFonts w:ascii="Times New Roman" w:eastAsia="Times New Roman" w:hAnsi="Times New Roman" w:cs="Times New Roman"/>
          <w:b/>
          <w:sz w:val="24"/>
          <w:szCs w:val="24"/>
        </w:rPr>
      </w:pPr>
    </w:p>
    <w:p w14:paraId="0E86A16C" w14:textId="77777777" w:rsidR="001B4B99" w:rsidRDefault="001B4B99" w:rsidP="001B4B99">
      <w:pPr>
        <w:spacing w:line="240" w:lineRule="auto"/>
        <w:jc w:val="both"/>
        <w:rPr>
          <w:rFonts w:ascii="Times New Roman" w:eastAsia="Times New Roman" w:hAnsi="Times New Roman" w:cs="Times New Roman"/>
          <w:sz w:val="24"/>
          <w:szCs w:val="24"/>
        </w:rPr>
      </w:pPr>
    </w:p>
    <w:p w14:paraId="3F193934" w14:textId="1CC8B8EF" w:rsidR="009E0FFC" w:rsidRPr="00DF0B57" w:rsidRDefault="006B1808" w:rsidP="009E419D">
      <w:pPr>
        <w:spacing w:line="240" w:lineRule="auto"/>
        <w:jc w:val="center"/>
        <w:rPr>
          <w:rFonts w:ascii="Times New Roman" w:eastAsia="Times New Roman" w:hAnsi="Times New Roman" w:cs="Times New Roman"/>
          <w:sz w:val="24"/>
          <w:szCs w:val="24"/>
        </w:rPr>
      </w:pPr>
      <w:r w:rsidRPr="00DF0B57">
        <w:rPr>
          <w:rFonts w:ascii="Times New Roman" w:eastAsia="Times New Roman" w:hAnsi="Times New Roman" w:cs="Times New Roman"/>
          <w:noProof/>
          <w:sz w:val="24"/>
          <w:szCs w:val="24"/>
          <w:lang w:eastAsia="es-MX"/>
        </w:rPr>
        <w:drawing>
          <wp:inline distT="0" distB="0" distL="0" distR="0" wp14:anchorId="4A4ED741" wp14:editId="5DEB6E2B">
            <wp:extent cx="5612130" cy="3227070"/>
            <wp:effectExtent l="0" t="0" r="7620" b="1143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B6B7BC5" w14:textId="51BC4C1E" w:rsidR="001B4B99" w:rsidRPr="00DF0B57" w:rsidRDefault="009417B0" w:rsidP="001B4B99">
      <w:pPr>
        <w:spacing w:line="240" w:lineRule="auto"/>
        <w:jc w:val="center"/>
        <w:rPr>
          <w:rFonts w:ascii="Times New Roman" w:eastAsia="Times New Roman" w:hAnsi="Times New Roman" w:cs="Times New Roman"/>
          <w:sz w:val="24"/>
          <w:szCs w:val="24"/>
        </w:rPr>
      </w:pPr>
      <w:r w:rsidRPr="009417B0">
        <w:rPr>
          <w:rFonts w:ascii="Times New Roman" w:eastAsia="Times New Roman" w:hAnsi="Times New Roman" w:cs="Times New Roman"/>
          <w:b/>
          <w:bCs/>
          <w:sz w:val="24"/>
          <w:szCs w:val="24"/>
        </w:rPr>
        <w:t>Fuente:</w:t>
      </w:r>
      <w:r>
        <w:rPr>
          <w:rFonts w:ascii="Times New Roman" w:eastAsia="Times New Roman" w:hAnsi="Times New Roman" w:cs="Times New Roman"/>
          <w:sz w:val="24"/>
          <w:szCs w:val="24"/>
        </w:rPr>
        <w:t xml:space="preserve"> Elaboración propia c</w:t>
      </w:r>
      <w:r w:rsidRPr="00DF0B57">
        <w:rPr>
          <w:rFonts w:ascii="Times New Roman" w:eastAsia="Times New Roman" w:hAnsi="Times New Roman" w:cs="Times New Roman"/>
          <w:sz w:val="24"/>
          <w:szCs w:val="24"/>
        </w:rPr>
        <w:t xml:space="preserve">on </w:t>
      </w:r>
      <w:r w:rsidR="001B4B99" w:rsidRPr="00DF0B57">
        <w:rPr>
          <w:rFonts w:ascii="Times New Roman" w:eastAsia="Times New Roman" w:hAnsi="Times New Roman" w:cs="Times New Roman"/>
          <w:sz w:val="24"/>
          <w:szCs w:val="24"/>
        </w:rPr>
        <w:t>base en encuesta online, abril-</w:t>
      </w:r>
      <w:r w:rsidR="001B4B99" w:rsidRPr="001B4B99">
        <w:rPr>
          <w:rFonts w:ascii="Times New Roman" w:eastAsia="Times New Roman" w:hAnsi="Times New Roman" w:cs="Times New Roman"/>
          <w:sz w:val="24"/>
          <w:szCs w:val="24"/>
        </w:rPr>
        <w:t xml:space="preserve"> </w:t>
      </w:r>
      <w:r w:rsidR="001B4B99" w:rsidRPr="00DF0B57">
        <w:rPr>
          <w:rFonts w:ascii="Times New Roman" w:eastAsia="Times New Roman" w:hAnsi="Times New Roman" w:cs="Times New Roman"/>
          <w:sz w:val="24"/>
          <w:szCs w:val="24"/>
        </w:rPr>
        <w:t>julio, 2020</w:t>
      </w:r>
    </w:p>
    <w:p w14:paraId="1259DCA4" w14:textId="77777777" w:rsidR="001B4B99" w:rsidRDefault="001B4B99" w:rsidP="001B4B99">
      <w:pPr>
        <w:spacing w:line="240" w:lineRule="auto"/>
        <w:jc w:val="both"/>
        <w:rPr>
          <w:rFonts w:ascii="Times New Roman" w:eastAsia="Times New Roman" w:hAnsi="Times New Roman" w:cs="Times New Roman"/>
          <w:sz w:val="24"/>
          <w:szCs w:val="24"/>
        </w:rPr>
      </w:pPr>
    </w:p>
    <w:p w14:paraId="45B448A5" w14:textId="68A4B8FE" w:rsidR="009E0FFC" w:rsidRPr="00DF0B57" w:rsidRDefault="006B1808" w:rsidP="001B4B99">
      <w:pPr>
        <w:spacing w:line="24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En el tercer eje de interés, para conocer las estrategias o apoyos para enfrentar la contingencia, se preguntó si contaban con fondos de ahorros, un 64% no tiene este hábito y el restante 36% si contaba con ello. Además, de lo complicado de la situación económica un 54% mencionó que hasta el momento de la encuesta no habían recibido apoyo por parte de alguna institución. Entre los que sí recibieron apoyo mencionaron en primer lugar que, del gobierno, de la empresa donde labora, entre otros apoyos de su sindicado, familiares, fundación o amistades. Entre los tipos de apoyo que han recibido durante la contingencia, el 82.8%mencionaron que despensa (municipal o estatal), el 14.1% no recibió ningún tipo de apoyo, entre otros apoyos económicos, préstamo bancario, préstamo de nómina, apoyo de familiares. Ver figura 5.</w:t>
      </w:r>
    </w:p>
    <w:p w14:paraId="3053CA18" w14:textId="7D1F6895" w:rsidR="009E0FFC" w:rsidRDefault="009E0FFC" w:rsidP="001B4B99">
      <w:pPr>
        <w:spacing w:line="240" w:lineRule="auto"/>
        <w:jc w:val="both"/>
        <w:rPr>
          <w:rFonts w:ascii="Times New Roman" w:eastAsia="Times New Roman" w:hAnsi="Times New Roman" w:cs="Times New Roman"/>
          <w:sz w:val="24"/>
          <w:szCs w:val="24"/>
        </w:rPr>
      </w:pPr>
    </w:p>
    <w:p w14:paraId="38FC15F7" w14:textId="39E365B2" w:rsidR="009E419D" w:rsidRDefault="009E419D" w:rsidP="001B4B99">
      <w:pPr>
        <w:spacing w:line="240" w:lineRule="auto"/>
        <w:jc w:val="both"/>
        <w:rPr>
          <w:rFonts w:ascii="Times New Roman" w:eastAsia="Times New Roman" w:hAnsi="Times New Roman" w:cs="Times New Roman"/>
          <w:sz w:val="24"/>
          <w:szCs w:val="24"/>
        </w:rPr>
      </w:pPr>
    </w:p>
    <w:p w14:paraId="63C123A5" w14:textId="038163CF" w:rsidR="009E419D" w:rsidRDefault="009E419D" w:rsidP="001B4B99">
      <w:pPr>
        <w:spacing w:line="240" w:lineRule="auto"/>
        <w:jc w:val="both"/>
        <w:rPr>
          <w:rFonts w:ascii="Times New Roman" w:eastAsia="Times New Roman" w:hAnsi="Times New Roman" w:cs="Times New Roman"/>
          <w:sz w:val="24"/>
          <w:szCs w:val="24"/>
        </w:rPr>
      </w:pPr>
    </w:p>
    <w:p w14:paraId="15DEC123" w14:textId="77777777" w:rsidR="009E419D" w:rsidRPr="00DF0B57" w:rsidRDefault="009E419D" w:rsidP="001B4B99">
      <w:pPr>
        <w:spacing w:line="240" w:lineRule="auto"/>
        <w:jc w:val="both"/>
        <w:rPr>
          <w:rFonts w:ascii="Times New Roman" w:eastAsia="Times New Roman" w:hAnsi="Times New Roman" w:cs="Times New Roman"/>
          <w:sz w:val="24"/>
          <w:szCs w:val="24"/>
        </w:rPr>
      </w:pPr>
    </w:p>
    <w:p w14:paraId="4E4BFD3C" w14:textId="77777777" w:rsidR="009E0FFC" w:rsidRPr="00DF0B57" w:rsidRDefault="006B1808" w:rsidP="001B4B99">
      <w:pPr>
        <w:spacing w:line="240" w:lineRule="auto"/>
        <w:jc w:val="both"/>
        <w:rPr>
          <w:rFonts w:ascii="Times New Roman" w:eastAsia="Times New Roman" w:hAnsi="Times New Roman" w:cs="Times New Roman"/>
          <w:b/>
          <w:sz w:val="24"/>
          <w:szCs w:val="24"/>
        </w:rPr>
      </w:pPr>
      <w:r w:rsidRPr="00DF0B57">
        <w:rPr>
          <w:rFonts w:ascii="Times New Roman" w:eastAsia="Times New Roman" w:hAnsi="Times New Roman" w:cs="Times New Roman"/>
          <w:b/>
          <w:sz w:val="24"/>
          <w:szCs w:val="24"/>
        </w:rPr>
        <w:lastRenderedPageBreak/>
        <w:t>Figura 5</w:t>
      </w:r>
      <w:r w:rsidRPr="00DF0B57">
        <w:rPr>
          <w:rFonts w:ascii="Times New Roman" w:eastAsia="Times New Roman" w:hAnsi="Times New Roman" w:cs="Times New Roman"/>
          <w:b/>
          <w:sz w:val="24"/>
          <w:szCs w:val="24"/>
        </w:rPr>
        <w:tab/>
      </w:r>
    </w:p>
    <w:p w14:paraId="543EC475" w14:textId="77777777" w:rsidR="009E0FFC" w:rsidRPr="00DF0B57" w:rsidRDefault="006B1808" w:rsidP="001B4B99">
      <w:pPr>
        <w:spacing w:line="24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Tipos de Apoyo Recibidos Durante la Contingencia</w:t>
      </w:r>
    </w:p>
    <w:p w14:paraId="0703984B" w14:textId="77777777" w:rsidR="009E0FFC" w:rsidRPr="00DF0B57" w:rsidRDefault="006B1808" w:rsidP="009E419D">
      <w:pPr>
        <w:spacing w:line="240" w:lineRule="auto"/>
        <w:jc w:val="center"/>
        <w:rPr>
          <w:rFonts w:ascii="Times New Roman" w:eastAsia="Times New Roman" w:hAnsi="Times New Roman" w:cs="Times New Roman"/>
          <w:b/>
          <w:sz w:val="24"/>
          <w:szCs w:val="24"/>
        </w:rPr>
      </w:pPr>
      <w:r w:rsidRPr="00DF0B57">
        <w:rPr>
          <w:rFonts w:ascii="Times New Roman" w:eastAsia="Times New Roman" w:hAnsi="Times New Roman" w:cs="Times New Roman"/>
          <w:noProof/>
          <w:sz w:val="24"/>
          <w:szCs w:val="24"/>
          <w:lang w:eastAsia="es-MX"/>
        </w:rPr>
        <w:drawing>
          <wp:inline distT="0" distB="0" distL="0" distR="0" wp14:anchorId="42A3DAB5" wp14:editId="230A3B54">
            <wp:extent cx="5612130" cy="3241675"/>
            <wp:effectExtent l="0" t="0" r="0" b="0"/>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FF63C48" w14:textId="6CFF6453" w:rsidR="009E0FFC" w:rsidRPr="00DF0B57" w:rsidRDefault="009417B0" w:rsidP="001B4B99">
      <w:pPr>
        <w:spacing w:line="240" w:lineRule="auto"/>
        <w:jc w:val="both"/>
        <w:rPr>
          <w:rFonts w:ascii="Times New Roman" w:eastAsia="Times New Roman" w:hAnsi="Times New Roman" w:cs="Times New Roman"/>
          <w:sz w:val="24"/>
          <w:szCs w:val="24"/>
        </w:rPr>
      </w:pPr>
      <w:r w:rsidRPr="009417B0">
        <w:rPr>
          <w:rFonts w:ascii="Times New Roman" w:eastAsia="Times New Roman" w:hAnsi="Times New Roman" w:cs="Times New Roman"/>
          <w:b/>
          <w:bCs/>
          <w:sz w:val="24"/>
          <w:szCs w:val="24"/>
        </w:rPr>
        <w:t>Fuente:</w:t>
      </w:r>
      <w:r>
        <w:rPr>
          <w:rFonts w:ascii="Times New Roman" w:eastAsia="Times New Roman" w:hAnsi="Times New Roman" w:cs="Times New Roman"/>
          <w:sz w:val="24"/>
          <w:szCs w:val="24"/>
        </w:rPr>
        <w:t xml:space="preserve"> Elaboración propia c</w:t>
      </w:r>
      <w:r w:rsidRPr="00DF0B57">
        <w:rPr>
          <w:rFonts w:ascii="Times New Roman" w:eastAsia="Times New Roman" w:hAnsi="Times New Roman" w:cs="Times New Roman"/>
          <w:sz w:val="24"/>
          <w:szCs w:val="24"/>
        </w:rPr>
        <w:t xml:space="preserve">on </w:t>
      </w:r>
      <w:r w:rsidR="006B1808" w:rsidRPr="00DF0B57">
        <w:rPr>
          <w:rFonts w:ascii="Times New Roman" w:eastAsia="Times New Roman" w:hAnsi="Times New Roman" w:cs="Times New Roman"/>
          <w:sz w:val="24"/>
          <w:szCs w:val="24"/>
        </w:rPr>
        <w:t>base en encuesta online, abril-julio, 2020</w:t>
      </w:r>
    </w:p>
    <w:p w14:paraId="14735121" w14:textId="77777777" w:rsidR="009E0FFC" w:rsidRPr="00DF0B57" w:rsidRDefault="006B1808" w:rsidP="001B4B99">
      <w:pPr>
        <w:spacing w:line="24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Para sobrellevar el periodo de contingencia ocasionado por el Covid-19, el 42% hasta el momento de aplicar lo encuesta no había recurrido a ninguna medida, el 13.6% acudió con familiares para solicitar apoyo, el 10.2% realizó trabajos eventuales, con menor porcentaje empeño de materiales, solicitud de créditos, intercambio de alimentos, venta de patrimonio, entre otros una combinación de las medidas ya mencionadas. Ver tabla 6.</w:t>
      </w:r>
    </w:p>
    <w:p w14:paraId="303DCD9F" w14:textId="77777777" w:rsidR="009E0FFC" w:rsidRPr="00DF0B57" w:rsidRDefault="006B1808" w:rsidP="001B4B99">
      <w:pPr>
        <w:spacing w:line="240" w:lineRule="auto"/>
        <w:ind w:firstLine="720"/>
        <w:jc w:val="both"/>
        <w:rPr>
          <w:rFonts w:ascii="Times New Roman" w:eastAsia="Times New Roman" w:hAnsi="Times New Roman" w:cs="Times New Roman"/>
          <w:b/>
          <w:sz w:val="24"/>
          <w:szCs w:val="24"/>
        </w:rPr>
      </w:pPr>
      <w:r w:rsidRPr="00DF0B57">
        <w:rPr>
          <w:rFonts w:ascii="Times New Roman" w:eastAsia="Times New Roman" w:hAnsi="Times New Roman" w:cs="Times New Roman"/>
          <w:b/>
          <w:sz w:val="24"/>
          <w:szCs w:val="24"/>
        </w:rPr>
        <w:t>Tabla 6</w:t>
      </w:r>
    </w:p>
    <w:p w14:paraId="4E06130B" w14:textId="77777777" w:rsidR="009E0FFC" w:rsidRPr="00DF0B57" w:rsidRDefault="006B1808" w:rsidP="001B4B99">
      <w:pPr>
        <w:spacing w:line="24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 xml:space="preserve">   </w:t>
      </w:r>
      <w:r w:rsidRPr="00DF0B57">
        <w:rPr>
          <w:rFonts w:ascii="Times New Roman" w:eastAsia="Times New Roman" w:hAnsi="Times New Roman" w:cs="Times New Roman"/>
          <w:sz w:val="24"/>
          <w:szCs w:val="24"/>
        </w:rPr>
        <w:tab/>
        <w:t>Medidas para Sobrellevar el Periodo de la Contingencia POR COVID-19</w:t>
      </w:r>
    </w:p>
    <w:tbl>
      <w:tblPr>
        <w:tblStyle w:val="1"/>
        <w:tblW w:w="8075" w:type="dxa"/>
        <w:jc w:val="center"/>
        <w:tblInd w:w="0" w:type="dxa"/>
        <w:tblBorders>
          <w:bottom w:val="single" w:sz="4" w:space="0" w:color="000000"/>
        </w:tblBorders>
        <w:tblLayout w:type="fixed"/>
        <w:tblLook w:val="04A0" w:firstRow="1" w:lastRow="0" w:firstColumn="1" w:lastColumn="0" w:noHBand="0" w:noVBand="1"/>
      </w:tblPr>
      <w:tblGrid>
        <w:gridCol w:w="4957"/>
        <w:gridCol w:w="850"/>
        <w:gridCol w:w="2268"/>
      </w:tblGrid>
      <w:tr w:rsidR="00DF0B57" w:rsidRPr="00DF0B57" w14:paraId="569487AF" w14:textId="77777777" w:rsidTr="009E0FFC">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807" w:type="dxa"/>
            <w:gridSpan w:val="2"/>
          </w:tcPr>
          <w:p w14:paraId="5A15755F" w14:textId="77777777" w:rsidR="009E0FFC" w:rsidRPr="00DF0B57" w:rsidRDefault="006B1808" w:rsidP="001B4B99">
            <w:pPr>
              <w:jc w:val="both"/>
              <w:rPr>
                <w:b/>
              </w:rPr>
            </w:pPr>
            <w:r w:rsidRPr="00DF0B57">
              <w:rPr>
                <w:b/>
              </w:rPr>
              <w:t>Medidas para Sobrellevar la Contingencia</w:t>
            </w:r>
          </w:p>
        </w:tc>
        <w:tc>
          <w:tcPr>
            <w:tcW w:w="2268" w:type="dxa"/>
          </w:tcPr>
          <w:p w14:paraId="04449854" w14:textId="77777777" w:rsidR="009E0FFC" w:rsidRPr="00DF0B57" w:rsidRDefault="006B1808" w:rsidP="001B4B99">
            <w:pPr>
              <w:jc w:val="both"/>
              <w:cnfStyle w:val="100000000000" w:firstRow="1" w:lastRow="0" w:firstColumn="0" w:lastColumn="0" w:oddVBand="0" w:evenVBand="0" w:oddHBand="0" w:evenHBand="0" w:firstRowFirstColumn="0" w:firstRowLastColumn="0" w:lastRowFirstColumn="0" w:lastRowLastColumn="0"/>
              <w:rPr>
                <w:b/>
              </w:rPr>
            </w:pPr>
            <w:r w:rsidRPr="00DF0B57">
              <w:rPr>
                <w:b/>
              </w:rPr>
              <w:t>Porcentaje (%)</w:t>
            </w:r>
          </w:p>
        </w:tc>
      </w:tr>
      <w:tr w:rsidR="00DF0B57" w:rsidRPr="00DF0B57" w14:paraId="165F911D" w14:textId="77777777" w:rsidTr="009E0FFC">
        <w:trPr>
          <w:trHeight w:val="300"/>
          <w:jc w:val="center"/>
        </w:trPr>
        <w:tc>
          <w:tcPr>
            <w:cnfStyle w:val="001000000000" w:firstRow="0" w:lastRow="0" w:firstColumn="1" w:lastColumn="0" w:oddVBand="0" w:evenVBand="0" w:oddHBand="0" w:evenHBand="0" w:firstRowFirstColumn="0" w:firstRowLastColumn="0" w:lastRowFirstColumn="0" w:lastRowLastColumn="0"/>
            <w:tcW w:w="4957" w:type="dxa"/>
          </w:tcPr>
          <w:p w14:paraId="1B26351E" w14:textId="77777777" w:rsidR="009E0FFC" w:rsidRPr="00DF0B57" w:rsidRDefault="006B1808" w:rsidP="001B4B99">
            <w:pPr>
              <w:jc w:val="both"/>
            </w:pPr>
            <w:r w:rsidRPr="00DF0B57">
              <w:t>Trabajos eventuales</w:t>
            </w:r>
          </w:p>
        </w:tc>
        <w:tc>
          <w:tcPr>
            <w:tcW w:w="850" w:type="dxa"/>
          </w:tcPr>
          <w:p w14:paraId="23D092FF"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36</w:t>
            </w:r>
          </w:p>
        </w:tc>
        <w:tc>
          <w:tcPr>
            <w:tcW w:w="2268" w:type="dxa"/>
          </w:tcPr>
          <w:p w14:paraId="13A404F9"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10.2</w:t>
            </w:r>
          </w:p>
        </w:tc>
      </w:tr>
      <w:tr w:rsidR="00DF0B57" w:rsidRPr="00DF0B57" w14:paraId="5E03EDAC" w14:textId="77777777" w:rsidTr="009E0FFC">
        <w:trPr>
          <w:trHeight w:val="300"/>
          <w:jc w:val="center"/>
        </w:trPr>
        <w:tc>
          <w:tcPr>
            <w:cnfStyle w:val="001000000000" w:firstRow="0" w:lastRow="0" w:firstColumn="1" w:lastColumn="0" w:oddVBand="0" w:evenVBand="0" w:oddHBand="0" w:evenHBand="0" w:firstRowFirstColumn="0" w:firstRowLastColumn="0" w:lastRowFirstColumn="0" w:lastRowLastColumn="0"/>
            <w:tcW w:w="4957" w:type="dxa"/>
          </w:tcPr>
          <w:p w14:paraId="6B4EB20A" w14:textId="77777777" w:rsidR="009E0FFC" w:rsidRPr="00DF0B57" w:rsidRDefault="006B1808" w:rsidP="001B4B99">
            <w:pPr>
              <w:jc w:val="both"/>
            </w:pPr>
            <w:r w:rsidRPr="00DF0B57">
              <w:t>Intercambio de alimentos</w:t>
            </w:r>
          </w:p>
        </w:tc>
        <w:tc>
          <w:tcPr>
            <w:tcW w:w="850" w:type="dxa"/>
          </w:tcPr>
          <w:p w14:paraId="451125CA"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15</w:t>
            </w:r>
          </w:p>
        </w:tc>
        <w:tc>
          <w:tcPr>
            <w:tcW w:w="2268" w:type="dxa"/>
          </w:tcPr>
          <w:p w14:paraId="3DE38F79"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4.2</w:t>
            </w:r>
          </w:p>
        </w:tc>
      </w:tr>
      <w:tr w:rsidR="00DF0B57" w:rsidRPr="00DF0B57" w14:paraId="72B1B8B5" w14:textId="77777777" w:rsidTr="009E0FFC">
        <w:trPr>
          <w:trHeight w:val="53"/>
          <w:jc w:val="center"/>
        </w:trPr>
        <w:tc>
          <w:tcPr>
            <w:cnfStyle w:val="001000000000" w:firstRow="0" w:lastRow="0" w:firstColumn="1" w:lastColumn="0" w:oddVBand="0" w:evenVBand="0" w:oddHBand="0" w:evenHBand="0" w:firstRowFirstColumn="0" w:firstRowLastColumn="0" w:lastRowFirstColumn="0" w:lastRowLastColumn="0"/>
            <w:tcW w:w="4957" w:type="dxa"/>
          </w:tcPr>
          <w:p w14:paraId="57C1BBB8" w14:textId="77777777" w:rsidR="009E0FFC" w:rsidRPr="00DF0B57" w:rsidRDefault="006B1808" w:rsidP="001B4B99">
            <w:pPr>
              <w:jc w:val="both"/>
            </w:pPr>
            <w:r w:rsidRPr="00DF0B57">
              <w:t>Acudir con familiares para los apoyos alimenticios y del hogar</w:t>
            </w:r>
          </w:p>
        </w:tc>
        <w:tc>
          <w:tcPr>
            <w:tcW w:w="850" w:type="dxa"/>
          </w:tcPr>
          <w:p w14:paraId="3E4B72B0"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48</w:t>
            </w:r>
          </w:p>
        </w:tc>
        <w:tc>
          <w:tcPr>
            <w:tcW w:w="2268" w:type="dxa"/>
          </w:tcPr>
          <w:p w14:paraId="6F7B928A"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13.6</w:t>
            </w:r>
          </w:p>
        </w:tc>
      </w:tr>
      <w:tr w:rsidR="00DF0B57" w:rsidRPr="00DF0B57" w14:paraId="19C105CC" w14:textId="77777777" w:rsidTr="009E0FFC">
        <w:trPr>
          <w:trHeight w:val="300"/>
          <w:jc w:val="center"/>
        </w:trPr>
        <w:tc>
          <w:tcPr>
            <w:cnfStyle w:val="001000000000" w:firstRow="0" w:lastRow="0" w:firstColumn="1" w:lastColumn="0" w:oddVBand="0" w:evenVBand="0" w:oddHBand="0" w:evenHBand="0" w:firstRowFirstColumn="0" w:firstRowLastColumn="0" w:lastRowFirstColumn="0" w:lastRowLastColumn="0"/>
            <w:tcW w:w="4957" w:type="dxa"/>
          </w:tcPr>
          <w:p w14:paraId="2707EC45" w14:textId="77777777" w:rsidR="009E0FFC" w:rsidRPr="00DF0B57" w:rsidRDefault="006B1808" w:rsidP="001B4B99">
            <w:pPr>
              <w:jc w:val="both"/>
            </w:pPr>
            <w:r w:rsidRPr="00DF0B57">
              <w:t>Solicitud de crédito</w:t>
            </w:r>
          </w:p>
        </w:tc>
        <w:tc>
          <w:tcPr>
            <w:tcW w:w="850" w:type="dxa"/>
          </w:tcPr>
          <w:p w14:paraId="75FFD7EC"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17</w:t>
            </w:r>
          </w:p>
        </w:tc>
        <w:tc>
          <w:tcPr>
            <w:tcW w:w="2268" w:type="dxa"/>
          </w:tcPr>
          <w:p w14:paraId="730B7629"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4.8</w:t>
            </w:r>
          </w:p>
        </w:tc>
      </w:tr>
      <w:tr w:rsidR="00DF0B57" w:rsidRPr="00DF0B57" w14:paraId="08B17E99" w14:textId="77777777" w:rsidTr="009E0FFC">
        <w:trPr>
          <w:trHeight w:val="41"/>
          <w:jc w:val="center"/>
        </w:trPr>
        <w:tc>
          <w:tcPr>
            <w:cnfStyle w:val="001000000000" w:firstRow="0" w:lastRow="0" w:firstColumn="1" w:lastColumn="0" w:oddVBand="0" w:evenVBand="0" w:oddHBand="0" w:evenHBand="0" w:firstRowFirstColumn="0" w:firstRowLastColumn="0" w:lastRowFirstColumn="0" w:lastRowLastColumn="0"/>
            <w:tcW w:w="4957" w:type="dxa"/>
          </w:tcPr>
          <w:p w14:paraId="1D08232D" w14:textId="77777777" w:rsidR="009E0FFC" w:rsidRPr="00DF0B57" w:rsidRDefault="006B1808" w:rsidP="001B4B99">
            <w:pPr>
              <w:jc w:val="both"/>
            </w:pPr>
            <w:r w:rsidRPr="00DF0B57">
              <w:t>Venta de patrimonio (muebles, pertenencias, otros)</w:t>
            </w:r>
          </w:p>
        </w:tc>
        <w:tc>
          <w:tcPr>
            <w:tcW w:w="850" w:type="dxa"/>
          </w:tcPr>
          <w:p w14:paraId="5C3A3470"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10</w:t>
            </w:r>
          </w:p>
        </w:tc>
        <w:tc>
          <w:tcPr>
            <w:tcW w:w="2268" w:type="dxa"/>
          </w:tcPr>
          <w:p w14:paraId="3FFA8447"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2.8</w:t>
            </w:r>
          </w:p>
        </w:tc>
      </w:tr>
      <w:tr w:rsidR="00DF0B57" w:rsidRPr="00DF0B57" w14:paraId="4DDBCCCB" w14:textId="77777777" w:rsidTr="009E0FFC">
        <w:trPr>
          <w:trHeight w:val="41"/>
          <w:jc w:val="center"/>
        </w:trPr>
        <w:tc>
          <w:tcPr>
            <w:cnfStyle w:val="001000000000" w:firstRow="0" w:lastRow="0" w:firstColumn="1" w:lastColumn="0" w:oddVBand="0" w:evenVBand="0" w:oddHBand="0" w:evenHBand="0" w:firstRowFirstColumn="0" w:firstRowLastColumn="0" w:lastRowFirstColumn="0" w:lastRowLastColumn="0"/>
            <w:tcW w:w="4957" w:type="dxa"/>
          </w:tcPr>
          <w:p w14:paraId="1C526F27" w14:textId="77777777" w:rsidR="009E0FFC" w:rsidRPr="00DF0B57" w:rsidRDefault="006B1808" w:rsidP="001B4B99">
            <w:pPr>
              <w:jc w:val="both"/>
            </w:pPr>
            <w:r w:rsidRPr="00DF0B57">
              <w:t>Empeño de materiales (muebles, pertenencia, otros)</w:t>
            </w:r>
          </w:p>
        </w:tc>
        <w:tc>
          <w:tcPr>
            <w:tcW w:w="850" w:type="dxa"/>
          </w:tcPr>
          <w:p w14:paraId="217EEE28"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24</w:t>
            </w:r>
          </w:p>
        </w:tc>
        <w:tc>
          <w:tcPr>
            <w:tcW w:w="2268" w:type="dxa"/>
          </w:tcPr>
          <w:p w14:paraId="1D8336D8"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6.8</w:t>
            </w:r>
          </w:p>
        </w:tc>
      </w:tr>
      <w:tr w:rsidR="00DF0B57" w:rsidRPr="00DF0B57" w14:paraId="339D3668" w14:textId="77777777" w:rsidTr="009E0FFC">
        <w:trPr>
          <w:trHeight w:val="58"/>
          <w:jc w:val="center"/>
        </w:trPr>
        <w:tc>
          <w:tcPr>
            <w:cnfStyle w:val="001000000000" w:firstRow="0" w:lastRow="0" w:firstColumn="1" w:lastColumn="0" w:oddVBand="0" w:evenVBand="0" w:oddHBand="0" w:evenHBand="0" w:firstRowFirstColumn="0" w:firstRowLastColumn="0" w:lastRowFirstColumn="0" w:lastRowLastColumn="0"/>
            <w:tcW w:w="4957" w:type="dxa"/>
          </w:tcPr>
          <w:p w14:paraId="044C56CD" w14:textId="77777777" w:rsidR="009E0FFC" w:rsidRPr="00DF0B57" w:rsidRDefault="006B1808" w:rsidP="001B4B99">
            <w:pPr>
              <w:jc w:val="both"/>
            </w:pPr>
            <w:r w:rsidRPr="00DF0B57">
              <w:t>Ninguna de las anteriores</w:t>
            </w:r>
          </w:p>
        </w:tc>
        <w:tc>
          <w:tcPr>
            <w:tcW w:w="850" w:type="dxa"/>
          </w:tcPr>
          <w:p w14:paraId="7FAA9BC9"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150</w:t>
            </w:r>
          </w:p>
        </w:tc>
        <w:tc>
          <w:tcPr>
            <w:tcW w:w="2268" w:type="dxa"/>
          </w:tcPr>
          <w:p w14:paraId="4F275964"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42.4</w:t>
            </w:r>
          </w:p>
        </w:tc>
      </w:tr>
      <w:tr w:rsidR="00DF0B57" w:rsidRPr="00DF0B57" w14:paraId="65210B27" w14:textId="77777777" w:rsidTr="009E0FFC">
        <w:trPr>
          <w:trHeight w:val="58"/>
          <w:jc w:val="center"/>
        </w:trPr>
        <w:tc>
          <w:tcPr>
            <w:cnfStyle w:val="001000000000" w:firstRow="0" w:lastRow="0" w:firstColumn="1" w:lastColumn="0" w:oddVBand="0" w:evenVBand="0" w:oddHBand="0" w:evenHBand="0" w:firstRowFirstColumn="0" w:firstRowLastColumn="0" w:lastRowFirstColumn="0" w:lastRowLastColumn="0"/>
            <w:tcW w:w="4957" w:type="dxa"/>
            <w:tcBorders>
              <w:bottom w:val="single" w:sz="4" w:space="0" w:color="000000"/>
            </w:tcBorders>
          </w:tcPr>
          <w:p w14:paraId="313D0EE5" w14:textId="77777777" w:rsidR="009E0FFC" w:rsidRPr="00DF0B57" w:rsidRDefault="006B1808" w:rsidP="001B4B99">
            <w:pPr>
              <w:jc w:val="both"/>
            </w:pPr>
            <w:r w:rsidRPr="00DF0B57">
              <w:t>Otras</w:t>
            </w:r>
          </w:p>
        </w:tc>
        <w:tc>
          <w:tcPr>
            <w:tcW w:w="850" w:type="dxa"/>
            <w:tcBorders>
              <w:bottom w:val="single" w:sz="4" w:space="0" w:color="000000"/>
            </w:tcBorders>
          </w:tcPr>
          <w:p w14:paraId="0E713C3D"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 xml:space="preserve">   56</w:t>
            </w:r>
          </w:p>
        </w:tc>
        <w:tc>
          <w:tcPr>
            <w:tcW w:w="2268" w:type="dxa"/>
            <w:tcBorders>
              <w:bottom w:val="single" w:sz="4" w:space="0" w:color="000000"/>
            </w:tcBorders>
          </w:tcPr>
          <w:p w14:paraId="2920A9DB"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pPr>
            <w:r w:rsidRPr="00DF0B57">
              <w:t>15.2</w:t>
            </w:r>
          </w:p>
        </w:tc>
      </w:tr>
      <w:tr w:rsidR="00DF0B57" w:rsidRPr="00DF0B57" w14:paraId="7DB0D823" w14:textId="77777777" w:rsidTr="009E0FFC">
        <w:trPr>
          <w:trHeight w:val="300"/>
          <w:jc w:val="center"/>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000000"/>
              <w:bottom w:val="single" w:sz="4" w:space="0" w:color="000000"/>
            </w:tcBorders>
          </w:tcPr>
          <w:p w14:paraId="3FB5B3C8" w14:textId="77777777" w:rsidR="009E0FFC" w:rsidRPr="00DF0B57" w:rsidRDefault="006B1808" w:rsidP="001B4B99">
            <w:pPr>
              <w:jc w:val="both"/>
              <w:rPr>
                <w:b/>
              </w:rPr>
            </w:pPr>
            <w:r w:rsidRPr="00DF0B57">
              <w:rPr>
                <w:b/>
              </w:rPr>
              <w:t>Total</w:t>
            </w:r>
          </w:p>
        </w:tc>
        <w:tc>
          <w:tcPr>
            <w:tcW w:w="850" w:type="dxa"/>
            <w:tcBorders>
              <w:top w:val="single" w:sz="4" w:space="0" w:color="000000"/>
              <w:bottom w:val="single" w:sz="4" w:space="0" w:color="000000"/>
            </w:tcBorders>
          </w:tcPr>
          <w:p w14:paraId="38BEC69D"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b/>
              </w:rPr>
            </w:pPr>
            <w:r w:rsidRPr="00DF0B57">
              <w:rPr>
                <w:b/>
              </w:rPr>
              <w:t>356</w:t>
            </w:r>
          </w:p>
        </w:tc>
        <w:tc>
          <w:tcPr>
            <w:tcW w:w="2268" w:type="dxa"/>
            <w:tcBorders>
              <w:top w:val="single" w:sz="4" w:space="0" w:color="000000"/>
              <w:bottom w:val="single" w:sz="4" w:space="0" w:color="000000"/>
            </w:tcBorders>
          </w:tcPr>
          <w:p w14:paraId="09D64F67" w14:textId="77777777" w:rsidR="009E0FFC" w:rsidRPr="00DF0B57" w:rsidRDefault="006B1808" w:rsidP="001B4B99">
            <w:pPr>
              <w:jc w:val="both"/>
              <w:cnfStyle w:val="000000000000" w:firstRow="0" w:lastRow="0" w:firstColumn="0" w:lastColumn="0" w:oddVBand="0" w:evenVBand="0" w:oddHBand="0" w:evenHBand="0" w:firstRowFirstColumn="0" w:firstRowLastColumn="0" w:lastRowFirstColumn="0" w:lastRowLastColumn="0"/>
              <w:rPr>
                <w:b/>
              </w:rPr>
            </w:pPr>
            <w:r w:rsidRPr="00DF0B57">
              <w:rPr>
                <w:b/>
              </w:rPr>
              <w:t>100.0</w:t>
            </w:r>
          </w:p>
        </w:tc>
      </w:tr>
    </w:tbl>
    <w:p w14:paraId="0460BFFD" w14:textId="57458BF1" w:rsidR="009E0FFC" w:rsidRPr="00DF0B57" w:rsidRDefault="006B1808" w:rsidP="001B4B99">
      <w:pPr>
        <w:spacing w:line="24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 xml:space="preserve">             </w:t>
      </w:r>
      <w:r w:rsidR="009417B0" w:rsidRPr="009417B0">
        <w:rPr>
          <w:rFonts w:ascii="Times New Roman" w:eastAsia="Times New Roman" w:hAnsi="Times New Roman" w:cs="Times New Roman"/>
          <w:b/>
          <w:bCs/>
          <w:sz w:val="24"/>
          <w:szCs w:val="24"/>
        </w:rPr>
        <w:t>Fuente:</w:t>
      </w:r>
      <w:r w:rsidR="009417B0">
        <w:rPr>
          <w:rFonts w:ascii="Times New Roman" w:eastAsia="Times New Roman" w:hAnsi="Times New Roman" w:cs="Times New Roman"/>
          <w:sz w:val="24"/>
          <w:szCs w:val="24"/>
        </w:rPr>
        <w:t xml:space="preserve"> Elaboración propia c</w:t>
      </w:r>
      <w:r w:rsidR="009417B0" w:rsidRPr="00DF0B57">
        <w:rPr>
          <w:rFonts w:ascii="Times New Roman" w:eastAsia="Times New Roman" w:hAnsi="Times New Roman" w:cs="Times New Roman"/>
          <w:sz w:val="24"/>
          <w:szCs w:val="24"/>
        </w:rPr>
        <w:t xml:space="preserve">on </w:t>
      </w:r>
      <w:r w:rsidRPr="00DF0B57">
        <w:rPr>
          <w:rFonts w:ascii="Times New Roman" w:eastAsia="Times New Roman" w:hAnsi="Times New Roman" w:cs="Times New Roman"/>
          <w:sz w:val="24"/>
          <w:szCs w:val="24"/>
        </w:rPr>
        <w:t>base en encuesta online, abril-julio, 2020</w:t>
      </w:r>
    </w:p>
    <w:p w14:paraId="649ECBF0" w14:textId="77777777" w:rsidR="001B4B99" w:rsidRDefault="001B4B99" w:rsidP="001B4B99">
      <w:pPr>
        <w:spacing w:line="240" w:lineRule="auto"/>
        <w:jc w:val="both"/>
        <w:rPr>
          <w:rFonts w:ascii="Times New Roman" w:eastAsia="Times New Roman" w:hAnsi="Times New Roman" w:cs="Times New Roman"/>
          <w:sz w:val="24"/>
          <w:szCs w:val="24"/>
        </w:rPr>
      </w:pPr>
    </w:p>
    <w:p w14:paraId="0EB1F766" w14:textId="1C72366E" w:rsidR="009E0FFC" w:rsidRPr="00DF0B57" w:rsidRDefault="006B1808" w:rsidP="001B4B99">
      <w:pPr>
        <w:spacing w:line="24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lastRenderedPageBreak/>
        <w:t>En la figura 7 se observa que un 28% de los encuestados tenían estimado de recuperación laboral en un periodo de 3 a 6 meses, 26.3% hasta un año y un 19.2 que no sabía y 12.4 más de un año.  A finales del mes de julio 2020 aún existe incertidumbre laboral, debido a que las empresas estaban operando en un 30 por ciento de su capacidad, en seguimiento a los protocolos y a la semaforización por el índice de contagios en el estado y municipio.</w:t>
      </w:r>
    </w:p>
    <w:p w14:paraId="26C9A7E3" w14:textId="20545AEA" w:rsidR="009E0FFC" w:rsidRPr="00DF0B57" w:rsidRDefault="006B1808" w:rsidP="001B4B99">
      <w:pPr>
        <w:spacing w:line="240" w:lineRule="auto"/>
        <w:jc w:val="both"/>
        <w:rPr>
          <w:rFonts w:ascii="Times New Roman" w:eastAsia="Times New Roman" w:hAnsi="Times New Roman" w:cs="Times New Roman"/>
          <w:b/>
          <w:sz w:val="24"/>
          <w:szCs w:val="24"/>
        </w:rPr>
      </w:pPr>
      <w:r w:rsidRPr="00DF0B57">
        <w:rPr>
          <w:rFonts w:ascii="Times New Roman" w:eastAsia="Times New Roman" w:hAnsi="Times New Roman" w:cs="Times New Roman"/>
          <w:b/>
          <w:sz w:val="24"/>
          <w:szCs w:val="24"/>
        </w:rPr>
        <w:t xml:space="preserve">            </w:t>
      </w:r>
    </w:p>
    <w:p w14:paraId="59CFB3C1" w14:textId="47EE83E8" w:rsidR="009E0FFC" w:rsidRPr="00DF0B57" w:rsidRDefault="006B1808" w:rsidP="001B4B99">
      <w:pPr>
        <w:spacing w:line="240" w:lineRule="auto"/>
        <w:jc w:val="both"/>
        <w:rPr>
          <w:rFonts w:ascii="Times New Roman" w:eastAsia="Times New Roman" w:hAnsi="Times New Roman" w:cs="Times New Roman"/>
          <w:b/>
          <w:sz w:val="24"/>
          <w:szCs w:val="24"/>
        </w:rPr>
      </w:pPr>
      <w:r w:rsidRPr="00DF0B57">
        <w:rPr>
          <w:rFonts w:ascii="Times New Roman" w:eastAsia="Times New Roman" w:hAnsi="Times New Roman" w:cs="Times New Roman"/>
          <w:b/>
          <w:sz w:val="24"/>
          <w:szCs w:val="24"/>
        </w:rPr>
        <w:t xml:space="preserve">     Figura 7</w:t>
      </w:r>
      <w:r w:rsidRPr="00DF0B57">
        <w:rPr>
          <w:rFonts w:ascii="Times New Roman" w:eastAsia="Times New Roman" w:hAnsi="Times New Roman" w:cs="Times New Roman"/>
          <w:b/>
          <w:sz w:val="24"/>
          <w:szCs w:val="24"/>
        </w:rPr>
        <w:tab/>
      </w:r>
    </w:p>
    <w:p w14:paraId="102FD2F3" w14:textId="77777777" w:rsidR="009E0FFC" w:rsidRPr="00DF0B57" w:rsidRDefault="006B1808" w:rsidP="001B4B99">
      <w:pPr>
        <w:spacing w:line="24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 xml:space="preserve">                      Tiempo Estimado para la Recuperación de la Situación Laboral</w:t>
      </w:r>
    </w:p>
    <w:p w14:paraId="15BC73F8" w14:textId="77777777" w:rsidR="009E0FFC" w:rsidRPr="00DF0B57" w:rsidRDefault="006B1808" w:rsidP="009E419D">
      <w:pPr>
        <w:spacing w:line="240" w:lineRule="auto"/>
        <w:jc w:val="center"/>
        <w:rPr>
          <w:rFonts w:ascii="Times New Roman" w:eastAsia="Times New Roman" w:hAnsi="Times New Roman" w:cs="Times New Roman"/>
          <w:sz w:val="24"/>
          <w:szCs w:val="24"/>
        </w:rPr>
      </w:pPr>
      <w:r w:rsidRPr="00DF0B57">
        <w:rPr>
          <w:rFonts w:ascii="Times New Roman" w:eastAsia="Times New Roman" w:hAnsi="Times New Roman" w:cs="Times New Roman"/>
          <w:noProof/>
          <w:sz w:val="24"/>
          <w:szCs w:val="24"/>
          <w:lang w:eastAsia="es-MX"/>
        </w:rPr>
        <w:drawing>
          <wp:inline distT="0" distB="0" distL="0" distR="0" wp14:anchorId="5A92DCBB" wp14:editId="4F2ADC42">
            <wp:extent cx="4248150" cy="2476500"/>
            <wp:effectExtent l="0" t="0" r="0" b="0"/>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9B9B3B4" w14:textId="5F660F8E" w:rsidR="009E0FFC" w:rsidRPr="00DF0B57" w:rsidRDefault="006B1808" w:rsidP="009E419D">
      <w:pPr>
        <w:spacing w:line="240" w:lineRule="auto"/>
        <w:jc w:val="both"/>
        <w:rPr>
          <w:rFonts w:ascii="Times New Roman" w:eastAsia="Times New Roman" w:hAnsi="Times New Roman" w:cs="Times New Roman"/>
          <w:sz w:val="24"/>
          <w:szCs w:val="24"/>
        </w:rPr>
      </w:pPr>
      <w:r w:rsidRPr="009417B0">
        <w:rPr>
          <w:rFonts w:ascii="Times New Roman" w:eastAsia="Times New Roman" w:hAnsi="Times New Roman" w:cs="Times New Roman"/>
          <w:b/>
          <w:bCs/>
          <w:sz w:val="24"/>
          <w:szCs w:val="24"/>
        </w:rPr>
        <w:t>Fuente:</w:t>
      </w:r>
      <w:r w:rsidR="009417B0">
        <w:rPr>
          <w:rFonts w:ascii="Times New Roman" w:eastAsia="Times New Roman" w:hAnsi="Times New Roman" w:cs="Times New Roman"/>
          <w:sz w:val="24"/>
          <w:szCs w:val="24"/>
        </w:rPr>
        <w:t xml:space="preserve"> Elaboración propia c</w:t>
      </w:r>
      <w:r w:rsidRPr="00DF0B57">
        <w:rPr>
          <w:rFonts w:ascii="Times New Roman" w:eastAsia="Times New Roman" w:hAnsi="Times New Roman" w:cs="Times New Roman"/>
          <w:sz w:val="24"/>
          <w:szCs w:val="24"/>
        </w:rPr>
        <w:t>on base en encuesta online, abril-julio, 2020</w:t>
      </w:r>
    </w:p>
    <w:p w14:paraId="642FEC96" w14:textId="77777777" w:rsidR="009E0FFC" w:rsidRPr="00DF0B57" w:rsidRDefault="006B1808" w:rsidP="001B4B99">
      <w:pPr>
        <w:spacing w:line="24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 xml:space="preserve">De acuerdo con las respuestas en cuanto a la percepción del encuestado sobre la reactivación del turismo en la isla de Cozumel, el 29.1% mencionó que, de 3 a 6 meses, el 28.8% de 6 meses a un año y el 14.4 más de un año. Ver figura 8. </w:t>
      </w:r>
    </w:p>
    <w:p w14:paraId="1D941B6C" w14:textId="77777777" w:rsidR="009E0FFC" w:rsidRPr="00DF0B57" w:rsidRDefault="006B1808" w:rsidP="001B4B99">
      <w:pPr>
        <w:spacing w:line="24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 xml:space="preserve">   </w:t>
      </w:r>
    </w:p>
    <w:p w14:paraId="55ECCB69" w14:textId="77777777" w:rsidR="009E0FFC" w:rsidRPr="00DF0B57" w:rsidRDefault="009E0FFC" w:rsidP="001B4B99">
      <w:pPr>
        <w:spacing w:line="240" w:lineRule="auto"/>
        <w:jc w:val="both"/>
        <w:rPr>
          <w:rFonts w:ascii="Times New Roman" w:eastAsia="Times New Roman" w:hAnsi="Times New Roman" w:cs="Times New Roman"/>
          <w:sz w:val="24"/>
          <w:szCs w:val="24"/>
        </w:rPr>
      </w:pPr>
    </w:p>
    <w:p w14:paraId="7844586D" w14:textId="77777777" w:rsidR="009E0FFC" w:rsidRPr="00DF0B57" w:rsidRDefault="009E0FFC" w:rsidP="001B4B99">
      <w:pPr>
        <w:spacing w:line="240" w:lineRule="auto"/>
        <w:jc w:val="both"/>
        <w:rPr>
          <w:rFonts w:ascii="Times New Roman" w:eastAsia="Times New Roman" w:hAnsi="Times New Roman" w:cs="Times New Roman"/>
          <w:sz w:val="24"/>
          <w:szCs w:val="24"/>
        </w:rPr>
      </w:pPr>
    </w:p>
    <w:p w14:paraId="71015344" w14:textId="77777777" w:rsidR="009E0FFC" w:rsidRPr="00DF0B57" w:rsidRDefault="009E0FFC" w:rsidP="001B4B99">
      <w:pPr>
        <w:spacing w:line="240" w:lineRule="auto"/>
        <w:jc w:val="both"/>
        <w:rPr>
          <w:rFonts w:ascii="Times New Roman" w:eastAsia="Times New Roman" w:hAnsi="Times New Roman" w:cs="Times New Roman"/>
          <w:sz w:val="24"/>
          <w:szCs w:val="24"/>
        </w:rPr>
      </w:pPr>
    </w:p>
    <w:p w14:paraId="5AE459B4" w14:textId="77777777" w:rsidR="009E0FFC" w:rsidRPr="00DF0B57" w:rsidRDefault="009E0FFC" w:rsidP="001B4B99">
      <w:pPr>
        <w:spacing w:line="240" w:lineRule="auto"/>
        <w:jc w:val="both"/>
        <w:rPr>
          <w:rFonts w:ascii="Times New Roman" w:eastAsia="Times New Roman" w:hAnsi="Times New Roman" w:cs="Times New Roman"/>
          <w:sz w:val="24"/>
          <w:szCs w:val="24"/>
        </w:rPr>
      </w:pPr>
    </w:p>
    <w:p w14:paraId="05522DEE" w14:textId="77777777" w:rsidR="009E0FFC" w:rsidRPr="00DF0B57" w:rsidRDefault="009E0FFC" w:rsidP="001B4B99">
      <w:pPr>
        <w:spacing w:line="240" w:lineRule="auto"/>
        <w:jc w:val="both"/>
        <w:rPr>
          <w:rFonts w:ascii="Times New Roman" w:eastAsia="Times New Roman" w:hAnsi="Times New Roman" w:cs="Times New Roman"/>
          <w:sz w:val="24"/>
          <w:szCs w:val="24"/>
        </w:rPr>
      </w:pPr>
    </w:p>
    <w:p w14:paraId="3CB8A747" w14:textId="77777777" w:rsidR="009E0FFC" w:rsidRPr="00DF0B57" w:rsidRDefault="009E0FFC" w:rsidP="001B4B99">
      <w:pPr>
        <w:spacing w:line="240" w:lineRule="auto"/>
        <w:jc w:val="both"/>
        <w:rPr>
          <w:rFonts w:ascii="Times New Roman" w:eastAsia="Times New Roman" w:hAnsi="Times New Roman" w:cs="Times New Roman"/>
          <w:sz w:val="24"/>
          <w:szCs w:val="24"/>
        </w:rPr>
      </w:pPr>
    </w:p>
    <w:p w14:paraId="12F621E4" w14:textId="77777777" w:rsidR="009E0FFC" w:rsidRPr="00DF0B57" w:rsidRDefault="009E0FFC" w:rsidP="001B4B99">
      <w:pPr>
        <w:spacing w:line="240" w:lineRule="auto"/>
        <w:jc w:val="both"/>
        <w:rPr>
          <w:rFonts w:ascii="Times New Roman" w:eastAsia="Times New Roman" w:hAnsi="Times New Roman" w:cs="Times New Roman"/>
          <w:sz w:val="24"/>
          <w:szCs w:val="24"/>
        </w:rPr>
      </w:pPr>
    </w:p>
    <w:p w14:paraId="077EEC2B" w14:textId="3CB1C4FF" w:rsidR="009E0FFC" w:rsidRDefault="009E0FFC" w:rsidP="001B4B99">
      <w:pPr>
        <w:spacing w:line="240" w:lineRule="auto"/>
        <w:jc w:val="both"/>
        <w:rPr>
          <w:rFonts w:ascii="Times New Roman" w:eastAsia="Times New Roman" w:hAnsi="Times New Roman" w:cs="Times New Roman"/>
          <w:sz w:val="24"/>
          <w:szCs w:val="24"/>
        </w:rPr>
      </w:pPr>
    </w:p>
    <w:p w14:paraId="0ADF3797" w14:textId="715D4603" w:rsidR="00DF0B57" w:rsidRDefault="00DF0B57" w:rsidP="001B4B99">
      <w:pPr>
        <w:spacing w:line="240" w:lineRule="auto"/>
        <w:jc w:val="both"/>
        <w:rPr>
          <w:rFonts w:ascii="Times New Roman" w:eastAsia="Times New Roman" w:hAnsi="Times New Roman" w:cs="Times New Roman"/>
          <w:sz w:val="24"/>
          <w:szCs w:val="24"/>
        </w:rPr>
      </w:pPr>
    </w:p>
    <w:p w14:paraId="2253D6B1" w14:textId="5F30895D" w:rsidR="001B67D4" w:rsidRDefault="001B67D4" w:rsidP="001B4B99">
      <w:pPr>
        <w:spacing w:line="240" w:lineRule="auto"/>
        <w:jc w:val="both"/>
        <w:rPr>
          <w:rFonts w:ascii="Times New Roman" w:eastAsia="Times New Roman" w:hAnsi="Times New Roman" w:cs="Times New Roman"/>
          <w:sz w:val="24"/>
          <w:szCs w:val="24"/>
        </w:rPr>
      </w:pPr>
    </w:p>
    <w:p w14:paraId="6412A420" w14:textId="77777777" w:rsidR="009E419D" w:rsidRPr="00DF0B57" w:rsidRDefault="009E419D" w:rsidP="001B4B99">
      <w:pPr>
        <w:spacing w:line="240" w:lineRule="auto"/>
        <w:jc w:val="both"/>
        <w:rPr>
          <w:rFonts w:ascii="Times New Roman" w:eastAsia="Times New Roman" w:hAnsi="Times New Roman" w:cs="Times New Roman"/>
          <w:sz w:val="24"/>
          <w:szCs w:val="24"/>
        </w:rPr>
      </w:pPr>
    </w:p>
    <w:p w14:paraId="2B36D3E9" w14:textId="77777777" w:rsidR="009E0FFC" w:rsidRPr="00DF0B57" w:rsidRDefault="006B1808" w:rsidP="001B4B99">
      <w:pPr>
        <w:spacing w:line="240" w:lineRule="auto"/>
        <w:jc w:val="both"/>
        <w:rPr>
          <w:rFonts w:ascii="Times New Roman" w:eastAsia="Times New Roman" w:hAnsi="Times New Roman" w:cs="Times New Roman"/>
          <w:b/>
          <w:sz w:val="24"/>
          <w:szCs w:val="24"/>
        </w:rPr>
      </w:pPr>
      <w:r w:rsidRPr="00DF0B57">
        <w:rPr>
          <w:rFonts w:ascii="Times New Roman" w:eastAsia="Times New Roman" w:hAnsi="Times New Roman" w:cs="Times New Roman"/>
          <w:b/>
          <w:sz w:val="24"/>
          <w:szCs w:val="24"/>
        </w:rPr>
        <w:lastRenderedPageBreak/>
        <w:t>Figura 8</w:t>
      </w:r>
      <w:r w:rsidRPr="00DF0B57">
        <w:rPr>
          <w:rFonts w:ascii="Times New Roman" w:eastAsia="Times New Roman" w:hAnsi="Times New Roman" w:cs="Times New Roman"/>
          <w:b/>
          <w:sz w:val="24"/>
          <w:szCs w:val="24"/>
        </w:rPr>
        <w:tab/>
      </w:r>
    </w:p>
    <w:p w14:paraId="716C6483" w14:textId="77777777" w:rsidR="009E0FFC" w:rsidRPr="00DF0B57" w:rsidRDefault="006B1808" w:rsidP="001B4B99">
      <w:pPr>
        <w:spacing w:line="24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Percepción del Encuestado Respecto al Tiempo para la Reactivación del Turismo en Cozumel</w:t>
      </w:r>
    </w:p>
    <w:p w14:paraId="6658F1BE" w14:textId="77777777" w:rsidR="009E0FFC" w:rsidRPr="00DF0B57" w:rsidRDefault="006B1808" w:rsidP="001B4B99">
      <w:pPr>
        <w:spacing w:line="24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noProof/>
          <w:sz w:val="24"/>
          <w:szCs w:val="24"/>
          <w:lang w:eastAsia="es-MX"/>
        </w:rPr>
        <w:drawing>
          <wp:inline distT="0" distB="0" distL="0" distR="0" wp14:anchorId="3A50A027" wp14:editId="421CB948">
            <wp:extent cx="5612130" cy="3439160"/>
            <wp:effectExtent l="0" t="0" r="0" b="0"/>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D3F0579" w14:textId="4BCA6970" w:rsidR="009E0FFC" w:rsidRPr="00DF0B57" w:rsidRDefault="006B1808" w:rsidP="001B4B99">
      <w:pPr>
        <w:spacing w:line="240" w:lineRule="auto"/>
        <w:jc w:val="both"/>
        <w:rPr>
          <w:rFonts w:ascii="Times New Roman" w:eastAsia="Times New Roman" w:hAnsi="Times New Roman" w:cs="Times New Roman"/>
          <w:sz w:val="24"/>
          <w:szCs w:val="24"/>
        </w:rPr>
      </w:pPr>
      <w:r w:rsidRPr="009417B0">
        <w:rPr>
          <w:rFonts w:ascii="Times New Roman" w:eastAsia="Times New Roman" w:hAnsi="Times New Roman" w:cs="Times New Roman"/>
          <w:b/>
          <w:bCs/>
          <w:sz w:val="24"/>
          <w:szCs w:val="24"/>
        </w:rPr>
        <w:t>Fuente:</w:t>
      </w:r>
      <w:r w:rsidRPr="00DF0B57">
        <w:rPr>
          <w:rFonts w:ascii="Times New Roman" w:eastAsia="Times New Roman" w:hAnsi="Times New Roman" w:cs="Times New Roman"/>
          <w:sz w:val="24"/>
          <w:szCs w:val="24"/>
        </w:rPr>
        <w:t xml:space="preserve"> </w:t>
      </w:r>
      <w:r w:rsidR="009417B0">
        <w:rPr>
          <w:rFonts w:ascii="Times New Roman" w:eastAsia="Times New Roman" w:hAnsi="Times New Roman" w:cs="Times New Roman"/>
          <w:sz w:val="24"/>
          <w:szCs w:val="24"/>
        </w:rPr>
        <w:t>Elaboración propia c</w:t>
      </w:r>
      <w:r w:rsidRPr="00DF0B57">
        <w:rPr>
          <w:rFonts w:ascii="Times New Roman" w:eastAsia="Times New Roman" w:hAnsi="Times New Roman" w:cs="Times New Roman"/>
          <w:sz w:val="24"/>
          <w:szCs w:val="24"/>
        </w:rPr>
        <w:t>on base en encuesta online, abril-julio, 2020</w:t>
      </w:r>
    </w:p>
    <w:p w14:paraId="75C1F208" w14:textId="77777777" w:rsidR="009E0FFC" w:rsidRPr="00DF0B57" w:rsidRDefault="009E0FFC" w:rsidP="001B4B99">
      <w:pPr>
        <w:spacing w:line="240" w:lineRule="auto"/>
        <w:jc w:val="both"/>
        <w:rPr>
          <w:rFonts w:ascii="Times New Roman" w:eastAsia="Times New Roman" w:hAnsi="Times New Roman" w:cs="Times New Roman"/>
          <w:b/>
          <w:sz w:val="24"/>
          <w:szCs w:val="24"/>
        </w:rPr>
      </w:pPr>
    </w:p>
    <w:p w14:paraId="2C6F1F82" w14:textId="55138751" w:rsidR="009E0FFC" w:rsidRPr="001B67D4" w:rsidRDefault="006B1808" w:rsidP="001B4B99">
      <w:pPr>
        <w:pStyle w:val="Prrafodelista"/>
        <w:numPr>
          <w:ilvl w:val="0"/>
          <w:numId w:val="3"/>
        </w:numPr>
        <w:jc w:val="both"/>
        <w:rPr>
          <w:rFonts w:ascii="Times New Roman" w:eastAsia="Times New Roman" w:hAnsi="Times New Roman" w:cs="Times New Roman"/>
          <w:b/>
          <w:sz w:val="24"/>
          <w:szCs w:val="24"/>
        </w:rPr>
      </w:pPr>
      <w:r w:rsidRPr="001B67D4">
        <w:rPr>
          <w:rFonts w:ascii="Times New Roman" w:eastAsia="Times New Roman" w:hAnsi="Times New Roman" w:cs="Times New Roman"/>
          <w:b/>
          <w:sz w:val="24"/>
          <w:szCs w:val="24"/>
        </w:rPr>
        <w:t xml:space="preserve">Discusión  </w:t>
      </w:r>
    </w:p>
    <w:p w14:paraId="04DB8E34" w14:textId="306CCB2C" w:rsidR="00DB58CF" w:rsidRPr="00DF0B57" w:rsidRDefault="006B1808" w:rsidP="001B4B99">
      <w:pPr>
        <w:spacing w:line="24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 xml:space="preserve">Cozumel es uno de los destinos turísticos de la zona norte de Quintana Roo que fue impactado por la presencia de la emergencia sanitaria, como se anotó líneas arriba, cancelación de vuelos y de cruceros, por </w:t>
      </w:r>
      <w:r w:rsidR="00DB58CF" w:rsidRPr="00DF0B57">
        <w:rPr>
          <w:rFonts w:ascii="Times New Roman" w:eastAsia="Times New Roman" w:hAnsi="Times New Roman" w:cs="Times New Roman"/>
          <w:sz w:val="24"/>
          <w:szCs w:val="24"/>
        </w:rPr>
        <w:t>ende,</w:t>
      </w:r>
      <w:r w:rsidRPr="00DF0B57">
        <w:rPr>
          <w:rFonts w:ascii="Times New Roman" w:eastAsia="Times New Roman" w:hAnsi="Times New Roman" w:cs="Times New Roman"/>
          <w:sz w:val="24"/>
          <w:szCs w:val="24"/>
        </w:rPr>
        <w:t xml:space="preserve"> baja en todos los indicadores, como llegada de turistas y excursionistas, cierre de negocios no esenciales, pérdida de empleo directo e indirecto en todos los subsectores de servicios, baja ocupación, disminución del ingreso en divisas entre otras.  </w:t>
      </w:r>
      <w:r w:rsidR="00DB58CF">
        <w:rPr>
          <w:rFonts w:ascii="Times New Roman" w:eastAsia="Times New Roman" w:hAnsi="Times New Roman" w:cs="Times New Roman"/>
          <w:sz w:val="24"/>
          <w:szCs w:val="24"/>
        </w:rPr>
        <w:t>Lo más fuerte, de acuerdo con Sancho (</w:t>
      </w:r>
      <w:r w:rsidR="000B1030">
        <w:rPr>
          <w:rFonts w:ascii="Times New Roman" w:eastAsia="Times New Roman" w:hAnsi="Times New Roman" w:cs="Times New Roman"/>
          <w:sz w:val="24"/>
          <w:szCs w:val="24"/>
        </w:rPr>
        <w:t>2006), fue ese efecto multiplicador que afectó a diversos negocios de la isla,</w:t>
      </w:r>
      <w:r w:rsidR="005C2FE6">
        <w:rPr>
          <w:rFonts w:ascii="Times New Roman" w:eastAsia="Times New Roman" w:hAnsi="Times New Roman" w:cs="Times New Roman"/>
          <w:sz w:val="24"/>
          <w:szCs w:val="24"/>
        </w:rPr>
        <w:t xml:space="preserve"> por la </w:t>
      </w:r>
      <w:r w:rsidR="000B1030">
        <w:rPr>
          <w:rFonts w:ascii="Times New Roman" w:eastAsia="Times New Roman" w:hAnsi="Times New Roman" w:cs="Times New Roman"/>
          <w:sz w:val="24"/>
          <w:szCs w:val="24"/>
        </w:rPr>
        <w:t>falta de empleo</w:t>
      </w:r>
      <w:r w:rsidR="005C2FE6">
        <w:rPr>
          <w:rFonts w:ascii="Times New Roman" w:eastAsia="Times New Roman" w:hAnsi="Times New Roman" w:cs="Times New Roman"/>
          <w:sz w:val="24"/>
          <w:szCs w:val="24"/>
        </w:rPr>
        <w:t>s</w:t>
      </w:r>
      <w:r w:rsidR="000B1030">
        <w:rPr>
          <w:rFonts w:ascii="Times New Roman" w:eastAsia="Times New Roman" w:hAnsi="Times New Roman" w:cs="Times New Roman"/>
          <w:sz w:val="24"/>
          <w:szCs w:val="24"/>
        </w:rPr>
        <w:t xml:space="preserve"> cuyos </w:t>
      </w:r>
      <w:r w:rsidR="0085420C">
        <w:rPr>
          <w:rFonts w:ascii="Times New Roman" w:eastAsia="Times New Roman" w:hAnsi="Times New Roman" w:cs="Times New Roman"/>
          <w:sz w:val="24"/>
          <w:szCs w:val="24"/>
        </w:rPr>
        <w:t>ingresos la</w:t>
      </w:r>
      <w:r w:rsidR="000B1030">
        <w:rPr>
          <w:rFonts w:ascii="Times New Roman" w:eastAsia="Times New Roman" w:hAnsi="Times New Roman" w:cs="Times New Roman"/>
          <w:sz w:val="24"/>
          <w:szCs w:val="24"/>
        </w:rPr>
        <w:t xml:space="preserve"> población los destinaba a distintos tipos de gastos en </w:t>
      </w:r>
      <w:r w:rsidR="00AE5734">
        <w:rPr>
          <w:rFonts w:ascii="Times New Roman" w:eastAsia="Times New Roman" w:hAnsi="Times New Roman" w:cs="Times New Roman"/>
          <w:sz w:val="24"/>
          <w:szCs w:val="24"/>
        </w:rPr>
        <w:t>servicios</w:t>
      </w:r>
      <w:r w:rsidR="000B1030">
        <w:rPr>
          <w:rFonts w:ascii="Times New Roman" w:eastAsia="Times New Roman" w:hAnsi="Times New Roman" w:cs="Times New Roman"/>
          <w:sz w:val="24"/>
          <w:szCs w:val="24"/>
        </w:rPr>
        <w:t xml:space="preserve"> no relacionados di</w:t>
      </w:r>
      <w:r w:rsidR="00AE5734">
        <w:rPr>
          <w:rFonts w:ascii="Times New Roman" w:eastAsia="Times New Roman" w:hAnsi="Times New Roman" w:cs="Times New Roman"/>
          <w:sz w:val="24"/>
          <w:szCs w:val="24"/>
        </w:rPr>
        <w:t>rectamente con el turismo, como</w:t>
      </w:r>
      <w:r w:rsidR="00540FBD">
        <w:rPr>
          <w:rFonts w:ascii="Times New Roman" w:eastAsia="Times New Roman" w:hAnsi="Times New Roman" w:cs="Times New Roman"/>
          <w:sz w:val="24"/>
          <w:szCs w:val="24"/>
        </w:rPr>
        <w:t xml:space="preserve"> transporte urbano</w:t>
      </w:r>
      <w:r w:rsidR="000B1030">
        <w:rPr>
          <w:rFonts w:ascii="Times New Roman" w:eastAsia="Times New Roman" w:hAnsi="Times New Roman" w:cs="Times New Roman"/>
          <w:sz w:val="24"/>
          <w:szCs w:val="24"/>
        </w:rPr>
        <w:t>, lavanderías, lavadoras de auto, peluquerías, tecnología, etc.</w:t>
      </w:r>
    </w:p>
    <w:p w14:paraId="4E44303B" w14:textId="77777777" w:rsidR="009E0FFC" w:rsidRPr="00DF0B57" w:rsidRDefault="006B1808" w:rsidP="001B4B99">
      <w:pPr>
        <w:spacing w:line="24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Según Harvey (2020) este tipo de afectaciones económicas y demográficas en el turismo debido al COVID-19 están relacionadas directamente con el modelo hegemónico en donde las empresas enfocadas en esta actividad han tenido que cerrar y despedir a los empleados, siendo pocos los involucrados que han tomado esto como oportunidad; esta crisis evidencia al empleo turístico como algo desechable del cual puede prescindir de los trabajadores cuando se necesita, siendo afectados los que se encuentran en una situación más difícil mayormente en los empleos temporales (Cañada, 2021).</w:t>
      </w:r>
    </w:p>
    <w:p w14:paraId="28FB1D87" w14:textId="11D61A02" w:rsidR="009E0FFC" w:rsidRPr="00DF0B57" w:rsidRDefault="006B1808" w:rsidP="001B4B99">
      <w:pPr>
        <w:spacing w:line="24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 xml:space="preserve">Los efectos negativos con relación a los establecimientos de hospedaje, </w:t>
      </w:r>
      <w:r w:rsidR="00AF483F" w:rsidRPr="00DF0B57">
        <w:rPr>
          <w:rFonts w:ascii="Times New Roman" w:eastAsia="Times New Roman" w:hAnsi="Times New Roman" w:cs="Times New Roman"/>
          <w:sz w:val="24"/>
          <w:szCs w:val="24"/>
        </w:rPr>
        <w:t>aerolíneas,</w:t>
      </w:r>
      <w:r w:rsidRPr="00DF0B57">
        <w:rPr>
          <w:rFonts w:ascii="Times New Roman" w:eastAsia="Times New Roman" w:hAnsi="Times New Roman" w:cs="Times New Roman"/>
          <w:sz w:val="24"/>
          <w:szCs w:val="24"/>
        </w:rPr>
        <w:t xml:space="preserve"> así como otros servicios ya que después de la crisis se prevé una pérdida del turismo externo, además de la desconfianza al viajar </w:t>
      </w:r>
      <w:r w:rsidR="00AF483F">
        <w:rPr>
          <w:rFonts w:ascii="Times New Roman" w:eastAsia="Times New Roman" w:hAnsi="Times New Roman" w:cs="Times New Roman"/>
          <w:sz w:val="24"/>
          <w:szCs w:val="24"/>
        </w:rPr>
        <w:t>o reducción de este tráfico aéreo como lo señala</w:t>
      </w:r>
      <w:r w:rsidR="00AF483F" w:rsidRPr="00AF483F">
        <w:rPr>
          <w:rFonts w:ascii="Times New Roman" w:eastAsia="Times New Roman" w:hAnsi="Times New Roman" w:cs="Times New Roman"/>
          <w:sz w:val="24"/>
          <w:szCs w:val="24"/>
        </w:rPr>
        <w:t xml:space="preserve"> Falcón, Sánchez &amp; Fernández, (2020)</w:t>
      </w:r>
      <w:r w:rsidR="00AF483F">
        <w:rPr>
          <w:rFonts w:ascii="Times New Roman" w:eastAsia="Times New Roman" w:hAnsi="Times New Roman" w:cs="Times New Roman"/>
          <w:sz w:val="24"/>
          <w:szCs w:val="24"/>
        </w:rPr>
        <w:t>;</w:t>
      </w:r>
      <w:r w:rsidR="00AF483F" w:rsidRPr="00AF483F">
        <w:rPr>
          <w:rFonts w:ascii="Times New Roman" w:eastAsia="Times New Roman" w:hAnsi="Times New Roman" w:cs="Times New Roman"/>
          <w:sz w:val="24"/>
          <w:szCs w:val="24"/>
        </w:rPr>
        <w:t xml:space="preserve"> </w:t>
      </w:r>
      <w:proofErr w:type="spellStart"/>
      <w:r w:rsidRPr="00DF0B57">
        <w:rPr>
          <w:rFonts w:ascii="Times New Roman" w:eastAsia="Times New Roman" w:hAnsi="Times New Roman" w:cs="Times New Roman"/>
          <w:sz w:val="24"/>
          <w:szCs w:val="24"/>
          <w:highlight w:val="white"/>
        </w:rPr>
        <w:t>Aledo</w:t>
      </w:r>
      <w:proofErr w:type="spellEnd"/>
      <w:r w:rsidRPr="00DF0B57">
        <w:rPr>
          <w:rFonts w:ascii="Times New Roman" w:eastAsia="Times New Roman" w:hAnsi="Times New Roman" w:cs="Times New Roman"/>
          <w:sz w:val="24"/>
          <w:szCs w:val="24"/>
          <w:highlight w:val="white"/>
        </w:rPr>
        <w:t xml:space="preserve"> et al., </w:t>
      </w:r>
      <w:r w:rsidR="00AF483F">
        <w:rPr>
          <w:rFonts w:ascii="Times New Roman" w:eastAsia="Times New Roman" w:hAnsi="Times New Roman" w:cs="Times New Roman"/>
          <w:sz w:val="24"/>
          <w:szCs w:val="24"/>
          <w:highlight w:val="white"/>
        </w:rPr>
        <w:t>(</w:t>
      </w:r>
      <w:r w:rsidRPr="00DF0B57">
        <w:rPr>
          <w:rFonts w:ascii="Times New Roman" w:eastAsia="Times New Roman" w:hAnsi="Times New Roman" w:cs="Times New Roman"/>
          <w:sz w:val="24"/>
          <w:szCs w:val="24"/>
          <w:highlight w:val="white"/>
        </w:rPr>
        <w:t>2020), por lo que e</w:t>
      </w:r>
      <w:r w:rsidRPr="00DF0B57">
        <w:rPr>
          <w:rFonts w:ascii="Times New Roman" w:eastAsia="Times New Roman" w:hAnsi="Times New Roman" w:cs="Times New Roman"/>
          <w:sz w:val="24"/>
          <w:szCs w:val="24"/>
        </w:rPr>
        <w:t>s claro que no podrá haber reactivación económica sin el control sostenido de la pandemia (Cabezas, 2020; Palomo et al., 2020).</w:t>
      </w:r>
      <w:r w:rsidR="00AF483F" w:rsidRPr="00AF483F">
        <w:rPr>
          <w:rFonts w:ascii="Times New Roman" w:eastAsia="Times New Roman" w:hAnsi="Times New Roman" w:cs="Times New Roman"/>
          <w:sz w:val="24"/>
          <w:szCs w:val="24"/>
        </w:rPr>
        <w:t xml:space="preserve"> </w:t>
      </w:r>
    </w:p>
    <w:p w14:paraId="44A89291" w14:textId="77777777" w:rsidR="009E0FFC" w:rsidRPr="00DF0B57" w:rsidRDefault="006B1808" w:rsidP="001B4B99">
      <w:pPr>
        <w:spacing w:line="240" w:lineRule="auto"/>
        <w:jc w:val="both"/>
        <w:rPr>
          <w:rFonts w:ascii="Times New Roman" w:eastAsia="Times New Roman" w:hAnsi="Times New Roman" w:cs="Times New Roman"/>
          <w:sz w:val="24"/>
          <w:szCs w:val="24"/>
          <w:highlight w:val="white"/>
        </w:rPr>
      </w:pPr>
      <w:r w:rsidRPr="00DF0B57">
        <w:rPr>
          <w:rFonts w:ascii="Times New Roman" w:eastAsia="Times New Roman" w:hAnsi="Times New Roman" w:cs="Times New Roman"/>
          <w:sz w:val="24"/>
          <w:szCs w:val="24"/>
          <w:highlight w:val="white"/>
        </w:rPr>
        <w:lastRenderedPageBreak/>
        <w:t xml:space="preserve">Las condiciones respecto al empleo en la que se encuentra la población de Cozumel, refleja los impactos a lo largo del tiempo en el territorio y el tejido social, como señalan </w:t>
      </w:r>
      <w:proofErr w:type="spellStart"/>
      <w:r w:rsidRPr="00DF0B57">
        <w:rPr>
          <w:rFonts w:ascii="Times New Roman" w:eastAsia="Times New Roman" w:hAnsi="Times New Roman" w:cs="Times New Roman"/>
          <w:sz w:val="24"/>
          <w:szCs w:val="24"/>
          <w:highlight w:val="white"/>
        </w:rPr>
        <w:t>Aledo</w:t>
      </w:r>
      <w:proofErr w:type="spellEnd"/>
      <w:r w:rsidRPr="00DF0B57">
        <w:rPr>
          <w:rFonts w:ascii="Times New Roman" w:eastAsia="Times New Roman" w:hAnsi="Times New Roman" w:cs="Times New Roman"/>
          <w:sz w:val="24"/>
          <w:szCs w:val="24"/>
          <w:highlight w:val="white"/>
        </w:rPr>
        <w:t xml:space="preserve"> y otros (2020), ésta precariedad en la actividad turística aumenta las graves condiciones a las que se enfrentan los trabajadores en relación a los bajos sueldos, los contratos temporales, los medios tiempos, el outsourcing o empleos informales por mencionar algunos dificultando que la gente tenga la posibilidad de ahorrar y poder enfrentar este tipo de situaciones emergentes (Cañada, 2021).</w:t>
      </w:r>
    </w:p>
    <w:p w14:paraId="120BAC4E" w14:textId="0DEBB298" w:rsidR="009E0FFC" w:rsidRPr="00DF0B57" w:rsidRDefault="006B1808" w:rsidP="001B4B99">
      <w:pPr>
        <w:spacing w:line="240" w:lineRule="auto"/>
        <w:jc w:val="both"/>
        <w:rPr>
          <w:rFonts w:ascii="Times New Roman" w:eastAsia="Times New Roman" w:hAnsi="Times New Roman" w:cs="Times New Roman"/>
          <w:b/>
          <w:sz w:val="24"/>
          <w:szCs w:val="24"/>
        </w:rPr>
      </w:pPr>
      <w:r w:rsidRPr="00DF0B57">
        <w:rPr>
          <w:rFonts w:ascii="Times New Roman" w:eastAsia="Times New Roman" w:hAnsi="Times New Roman" w:cs="Times New Roman"/>
          <w:sz w:val="24"/>
          <w:szCs w:val="24"/>
        </w:rPr>
        <w:t>Los datos estadísticos de la secretaría de turismo de Quintana Roo, señalan que, en el 2019, se tenían 1,129 hoteles y 107, 128 cuartos de hotel (</w:t>
      </w:r>
      <w:proofErr w:type="spellStart"/>
      <w:r w:rsidRPr="00DF0B57">
        <w:rPr>
          <w:rFonts w:ascii="Times New Roman" w:eastAsia="Times New Roman" w:hAnsi="Times New Roman" w:cs="Times New Roman"/>
          <w:sz w:val="24"/>
          <w:szCs w:val="24"/>
        </w:rPr>
        <w:t>Sedetur</w:t>
      </w:r>
      <w:proofErr w:type="spellEnd"/>
      <w:r w:rsidRPr="00DF0B57">
        <w:rPr>
          <w:rFonts w:ascii="Times New Roman" w:eastAsia="Times New Roman" w:hAnsi="Times New Roman" w:cs="Times New Roman"/>
          <w:sz w:val="24"/>
          <w:szCs w:val="24"/>
        </w:rPr>
        <w:t>, 2019).  Arroyo y Gutiérrez (2007); mencionan que, según la secretaría de turismo en México, un cuarto de hotel debe ser cubierto con un empleo y medio directo y tres indirectos, por lo que se estarían generando 482, 076 empleos dedicados a este sector. Sin embargo, en la realidad esto no concuerda con los datos de los empleos formales en este sector,</w:t>
      </w:r>
      <w:r w:rsidR="00AF483F">
        <w:rPr>
          <w:rFonts w:ascii="Times New Roman" w:eastAsia="Times New Roman" w:hAnsi="Times New Roman" w:cs="Times New Roman"/>
          <w:sz w:val="24"/>
          <w:szCs w:val="24"/>
        </w:rPr>
        <w:t xml:space="preserve"> según las fuentes consultadas y esto deja endeble al individuo según (Palafox y Rubí, 2020).</w:t>
      </w:r>
    </w:p>
    <w:p w14:paraId="30139266" w14:textId="18336D7D" w:rsidR="009E0FFC" w:rsidRPr="001B67D4" w:rsidRDefault="006B1808" w:rsidP="001B4B99">
      <w:pPr>
        <w:pStyle w:val="Prrafodelista"/>
        <w:numPr>
          <w:ilvl w:val="0"/>
          <w:numId w:val="3"/>
        </w:numPr>
        <w:jc w:val="both"/>
        <w:rPr>
          <w:rFonts w:ascii="Times New Roman" w:eastAsia="Times New Roman" w:hAnsi="Times New Roman" w:cs="Times New Roman"/>
          <w:b/>
          <w:sz w:val="24"/>
          <w:szCs w:val="24"/>
        </w:rPr>
      </w:pPr>
      <w:r w:rsidRPr="001B67D4">
        <w:rPr>
          <w:rFonts w:ascii="Times New Roman" w:eastAsia="Times New Roman" w:hAnsi="Times New Roman" w:cs="Times New Roman"/>
          <w:b/>
          <w:sz w:val="24"/>
          <w:szCs w:val="24"/>
        </w:rPr>
        <w:t>Conclusión</w:t>
      </w:r>
    </w:p>
    <w:p w14:paraId="79E4197C" w14:textId="77777777" w:rsidR="009E0FFC" w:rsidRPr="00DF0B57" w:rsidRDefault="006B1808" w:rsidP="001B4B99">
      <w:pPr>
        <w:spacing w:line="24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En zona norte de Quintana Roo se encuentran los principales destinos turísticos del Caribe Mexicano, como Cancún, Isla Mujeres, Cozumel, Solidaridad, Tulum y Puerto Morelos, por tal motivo la reactivación económica es una necesidad, ya que dichos lugares dependen completamente de esta actividad económica; debido a la pandemia en diversos municipios del Estado de Quintana Roo las personas que trabajaban en la actividad turística tuvieron que regresar a sus lugares de origen, al no existir afluencia turística por el confinamiento nacional e internacional generado por la pandemia, el detenimiento de los destinos turísticos, así como el cierre sin fecha de apertura de la planta turística fue un hecho sin precedentes, ya que ni con la llegada de la influenza se tomaron esas medidas de aislamiento y distanciamiento social.</w:t>
      </w:r>
    </w:p>
    <w:p w14:paraId="3EB2A05C" w14:textId="77777777" w:rsidR="009E0FFC" w:rsidRPr="00DF0B57" w:rsidRDefault="009E0FFC" w:rsidP="001B4B99">
      <w:pPr>
        <w:spacing w:line="240" w:lineRule="auto"/>
        <w:jc w:val="both"/>
        <w:rPr>
          <w:rFonts w:ascii="Times New Roman" w:eastAsia="Times New Roman" w:hAnsi="Times New Roman" w:cs="Times New Roman"/>
          <w:sz w:val="24"/>
          <w:szCs w:val="24"/>
        </w:rPr>
      </w:pPr>
    </w:p>
    <w:p w14:paraId="65BEBC11" w14:textId="77777777" w:rsidR="009E0FFC" w:rsidRPr="00DF0B57" w:rsidRDefault="006B1808" w:rsidP="001B4B99">
      <w:pPr>
        <w:spacing w:line="24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 xml:space="preserve">A partir del 1 de julio del 2020, comenzó la apertura de los establecimientos turísticos paulatinamente a una capacidad del 30%, con los protocolos establecidos para evitar la propagación del virus. Sin embargo, la pandemia ha dejado efectos negativos en la actividad económica principalmente por la dependencia de un turismo masivo, que ha incorporado como fuerza laboral una población en su mayoría vulnerable y muchas veces en términos de ilegalidad sin las prestaciones de acuerdo con lo que establecen las leyes, situaciones las que involucran los contratos temporales dificulta la estabilidad laboral de los habitantes de la región y específicamente de los cozumeleños. </w:t>
      </w:r>
    </w:p>
    <w:p w14:paraId="6141BF6D" w14:textId="44C34F68" w:rsidR="009E0FFC" w:rsidRPr="00DF0B57" w:rsidRDefault="00AE5734" w:rsidP="001B4B9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Ante e</w:t>
      </w:r>
      <w:r w:rsidR="006B1808" w:rsidRPr="00DF0B57">
        <w:rPr>
          <w:rFonts w:ascii="Times New Roman" w:eastAsia="Times New Roman" w:hAnsi="Times New Roman" w:cs="Times New Roman"/>
          <w:sz w:val="24"/>
          <w:szCs w:val="24"/>
        </w:rPr>
        <w:t>l constante cambio de semáforo epidemiológico federal y estatal que limita los horarios, el aforo y la operación de las empresas. Es necesario continuar con las recomendaciones para una reconstrucción nacional, teniendo en cuenta una estrategia de sostenibilidad laboral a largo plazo en Quintana Roo para una etapa post COVID-19. Es prioritario, sumarse al programa de trabajo decente que propone la Organización Internacional del Trabajo (OIT), cuya base son los derechos en el trabajo, ingreso justo, seguridad, protección, diálogo, libertad de expresión,</w:t>
      </w:r>
      <w:r w:rsidR="006B1808" w:rsidRPr="00DF0B57">
        <w:rPr>
          <w:rFonts w:ascii="Times New Roman" w:eastAsia="Times New Roman" w:hAnsi="Times New Roman" w:cs="Times New Roman"/>
          <w:sz w:val="24"/>
          <w:szCs w:val="24"/>
          <w:highlight w:val="white"/>
        </w:rPr>
        <w:t xml:space="preserve"> desarrollo personal</w:t>
      </w:r>
      <w:r w:rsidR="006B1808" w:rsidRPr="00DF0B57">
        <w:rPr>
          <w:rFonts w:ascii="Times New Roman" w:eastAsia="Times New Roman" w:hAnsi="Times New Roman" w:cs="Times New Roman"/>
          <w:sz w:val="24"/>
          <w:szCs w:val="24"/>
        </w:rPr>
        <w:t xml:space="preserve"> e igualdad de género, con el fin de afianzar el crecimiento económico de Quintana Roo y de los municipios, así como mejorar las condiciones de vida de los que trabajan en diversos sectores, especialmente el turístico. </w:t>
      </w:r>
    </w:p>
    <w:p w14:paraId="32599DFA" w14:textId="77777777" w:rsidR="009E0FFC" w:rsidRPr="00DF0B57" w:rsidRDefault="006B1808" w:rsidP="001B4B99">
      <w:pPr>
        <w:spacing w:line="24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Si bien, el estado no es el único que enfrenta este tipo de problemas, es un llamado a todos los actores involucrados en el ámbito del turismo, a repensar los pros y contras de un turismo masivo y dependencia de un turismo de cruceros, pero sobre todo emprender acciones que conlleven a diversificar la oferta turística en alternancia con el turismo de sol y playa, con base en actividades de turismo responsable, sostenible e inclusivo que permita enfrentarse a este tipo de situaciones, reduzca las desigualdades y vulnerabilidad que viven los trabajadores en el sector turístico y mejorar la economía de la isla en lo general.</w:t>
      </w:r>
    </w:p>
    <w:p w14:paraId="330E5072" w14:textId="77777777" w:rsidR="009E0FFC" w:rsidRPr="00DF0B57" w:rsidRDefault="006B1808" w:rsidP="001B4B99">
      <w:pPr>
        <w:spacing w:line="24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lastRenderedPageBreak/>
        <w:t>Se recomienda para futuras investigaciones darle continuidad al estudio cuando el turismo se reactive al cien por ciento en Cozumel para tener un panorama comparativo antes y después de la pandemia, además de integrar al estudio las variaciones del semáforo epidemiológico estatal.</w:t>
      </w:r>
    </w:p>
    <w:p w14:paraId="4730E9F9" w14:textId="3A2F5CAE" w:rsidR="009E0FFC" w:rsidRDefault="006B1808" w:rsidP="001B4B99">
      <w:pPr>
        <w:spacing w:line="24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 xml:space="preserve">Sería interesante conocer en un periodo de tiempo considerable si los habitantes de </w:t>
      </w:r>
      <w:r w:rsidR="00B16FD8" w:rsidRPr="00DF0B57">
        <w:rPr>
          <w:rFonts w:ascii="Times New Roman" w:eastAsia="Times New Roman" w:hAnsi="Times New Roman" w:cs="Times New Roman"/>
          <w:sz w:val="24"/>
          <w:szCs w:val="24"/>
        </w:rPr>
        <w:t>Cozumel</w:t>
      </w:r>
      <w:r w:rsidRPr="00DF0B57">
        <w:rPr>
          <w:rFonts w:ascii="Times New Roman" w:eastAsia="Times New Roman" w:hAnsi="Times New Roman" w:cs="Times New Roman"/>
          <w:sz w:val="24"/>
          <w:szCs w:val="24"/>
        </w:rPr>
        <w:t xml:space="preserve"> han cambiado sus hábitos con respecto a los aspectos económicos de este estudio en los que se muestra no estaban preparados ante una contingencia de esta naturaleza, de la misma manera conocer si el modelo económico continúa bajo un esquema que impide la estabilidad laboral del empleado o si esta situación contribuye al fortalecimiento económico y social de la isla.</w:t>
      </w:r>
    </w:p>
    <w:p w14:paraId="46035F1E" w14:textId="0A64EEEC" w:rsidR="009E419D" w:rsidRDefault="009E419D" w:rsidP="001B4B99">
      <w:pPr>
        <w:spacing w:line="240" w:lineRule="auto"/>
        <w:jc w:val="both"/>
        <w:rPr>
          <w:rFonts w:ascii="Times New Roman" w:eastAsia="Times New Roman" w:hAnsi="Times New Roman" w:cs="Times New Roman"/>
          <w:sz w:val="24"/>
          <w:szCs w:val="24"/>
        </w:rPr>
      </w:pPr>
    </w:p>
    <w:p w14:paraId="5D2E9239" w14:textId="5EAC8147" w:rsidR="009E419D" w:rsidRDefault="009E419D" w:rsidP="001B4B99">
      <w:pPr>
        <w:spacing w:line="240" w:lineRule="auto"/>
        <w:jc w:val="both"/>
        <w:rPr>
          <w:rFonts w:ascii="Times New Roman" w:eastAsia="Times New Roman" w:hAnsi="Times New Roman" w:cs="Times New Roman"/>
          <w:sz w:val="24"/>
          <w:szCs w:val="24"/>
        </w:rPr>
      </w:pPr>
    </w:p>
    <w:p w14:paraId="1AE86234" w14:textId="600C1D76" w:rsidR="009E419D" w:rsidRDefault="009E419D" w:rsidP="001B4B99">
      <w:pPr>
        <w:spacing w:line="240" w:lineRule="auto"/>
        <w:jc w:val="both"/>
        <w:rPr>
          <w:rFonts w:ascii="Times New Roman" w:eastAsia="Times New Roman" w:hAnsi="Times New Roman" w:cs="Times New Roman"/>
          <w:sz w:val="24"/>
          <w:szCs w:val="24"/>
        </w:rPr>
      </w:pPr>
    </w:p>
    <w:p w14:paraId="4BD31707" w14:textId="7C27353E" w:rsidR="009E419D" w:rsidRDefault="009E419D" w:rsidP="001B4B99">
      <w:pPr>
        <w:spacing w:line="240" w:lineRule="auto"/>
        <w:jc w:val="both"/>
        <w:rPr>
          <w:rFonts w:ascii="Times New Roman" w:eastAsia="Times New Roman" w:hAnsi="Times New Roman" w:cs="Times New Roman"/>
          <w:sz w:val="24"/>
          <w:szCs w:val="24"/>
        </w:rPr>
      </w:pPr>
    </w:p>
    <w:p w14:paraId="0732733A" w14:textId="357B3A88" w:rsidR="009E419D" w:rsidRDefault="009E419D" w:rsidP="001B4B99">
      <w:pPr>
        <w:spacing w:line="240" w:lineRule="auto"/>
        <w:jc w:val="both"/>
        <w:rPr>
          <w:rFonts w:ascii="Times New Roman" w:eastAsia="Times New Roman" w:hAnsi="Times New Roman" w:cs="Times New Roman"/>
          <w:sz w:val="24"/>
          <w:szCs w:val="24"/>
        </w:rPr>
      </w:pPr>
    </w:p>
    <w:p w14:paraId="538151AA" w14:textId="2326D3EE" w:rsidR="009E419D" w:rsidRDefault="009E419D" w:rsidP="001B4B99">
      <w:pPr>
        <w:spacing w:line="240" w:lineRule="auto"/>
        <w:jc w:val="both"/>
        <w:rPr>
          <w:rFonts w:ascii="Times New Roman" w:eastAsia="Times New Roman" w:hAnsi="Times New Roman" w:cs="Times New Roman"/>
          <w:sz w:val="24"/>
          <w:szCs w:val="24"/>
        </w:rPr>
      </w:pPr>
    </w:p>
    <w:p w14:paraId="239D1DE4" w14:textId="5D9071CB" w:rsidR="009E419D" w:rsidRDefault="009E419D" w:rsidP="001B4B99">
      <w:pPr>
        <w:spacing w:line="240" w:lineRule="auto"/>
        <w:jc w:val="both"/>
        <w:rPr>
          <w:rFonts w:ascii="Times New Roman" w:eastAsia="Times New Roman" w:hAnsi="Times New Roman" w:cs="Times New Roman"/>
          <w:sz w:val="24"/>
          <w:szCs w:val="24"/>
        </w:rPr>
      </w:pPr>
    </w:p>
    <w:p w14:paraId="096A5AE8" w14:textId="502E27CF" w:rsidR="009E419D" w:rsidRDefault="009E419D" w:rsidP="001B4B99">
      <w:pPr>
        <w:spacing w:line="240" w:lineRule="auto"/>
        <w:jc w:val="both"/>
        <w:rPr>
          <w:rFonts w:ascii="Times New Roman" w:eastAsia="Times New Roman" w:hAnsi="Times New Roman" w:cs="Times New Roman"/>
          <w:sz w:val="24"/>
          <w:szCs w:val="24"/>
        </w:rPr>
      </w:pPr>
    </w:p>
    <w:p w14:paraId="15BA0C84" w14:textId="1D7ECF0A" w:rsidR="009E419D" w:rsidRDefault="009E419D" w:rsidP="001B4B99">
      <w:pPr>
        <w:spacing w:line="240" w:lineRule="auto"/>
        <w:jc w:val="both"/>
        <w:rPr>
          <w:rFonts w:ascii="Times New Roman" w:eastAsia="Times New Roman" w:hAnsi="Times New Roman" w:cs="Times New Roman"/>
          <w:sz w:val="24"/>
          <w:szCs w:val="24"/>
        </w:rPr>
      </w:pPr>
    </w:p>
    <w:p w14:paraId="24D9771F" w14:textId="45BB947D" w:rsidR="009E419D" w:rsidRDefault="009E419D" w:rsidP="001B4B99">
      <w:pPr>
        <w:spacing w:line="240" w:lineRule="auto"/>
        <w:jc w:val="both"/>
        <w:rPr>
          <w:rFonts w:ascii="Times New Roman" w:eastAsia="Times New Roman" w:hAnsi="Times New Roman" w:cs="Times New Roman"/>
          <w:sz w:val="24"/>
          <w:szCs w:val="24"/>
        </w:rPr>
      </w:pPr>
    </w:p>
    <w:p w14:paraId="483C4A0A" w14:textId="4BF1382D" w:rsidR="009E419D" w:rsidRDefault="009E419D" w:rsidP="001B4B99">
      <w:pPr>
        <w:spacing w:line="240" w:lineRule="auto"/>
        <w:jc w:val="both"/>
        <w:rPr>
          <w:rFonts w:ascii="Times New Roman" w:eastAsia="Times New Roman" w:hAnsi="Times New Roman" w:cs="Times New Roman"/>
          <w:sz w:val="24"/>
          <w:szCs w:val="24"/>
        </w:rPr>
      </w:pPr>
    </w:p>
    <w:p w14:paraId="0004E853" w14:textId="575160B0" w:rsidR="009E419D" w:rsidRDefault="009E419D" w:rsidP="001B4B99">
      <w:pPr>
        <w:spacing w:line="240" w:lineRule="auto"/>
        <w:jc w:val="both"/>
        <w:rPr>
          <w:rFonts w:ascii="Times New Roman" w:eastAsia="Times New Roman" w:hAnsi="Times New Roman" w:cs="Times New Roman"/>
          <w:sz w:val="24"/>
          <w:szCs w:val="24"/>
        </w:rPr>
      </w:pPr>
    </w:p>
    <w:p w14:paraId="67F7240A" w14:textId="0F2E951D" w:rsidR="009E419D" w:rsidRDefault="009E419D" w:rsidP="001B4B99">
      <w:pPr>
        <w:spacing w:line="240" w:lineRule="auto"/>
        <w:jc w:val="both"/>
        <w:rPr>
          <w:rFonts w:ascii="Times New Roman" w:eastAsia="Times New Roman" w:hAnsi="Times New Roman" w:cs="Times New Roman"/>
          <w:sz w:val="24"/>
          <w:szCs w:val="24"/>
        </w:rPr>
      </w:pPr>
    </w:p>
    <w:p w14:paraId="091B2838" w14:textId="71E2A609" w:rsidR="009E419D" w:rsidRDefault="009E419D" w:rsidP="001B4B99">
      <w:pPr>
        <w:spacing w:line="240" w:lineRule="auto"/>
        <w:jc w:val="both"/>
        <w:rPr>
          <w:rFonts w:ascii="Times New Roman" w:eastAsia="Times New Roman" w:hAnsi="Times New Roman" w:cs="Times New Roman"/>
          <w:sz w:val="24"/>
          <w:szCs w:val="24"/>
        </w:rPr>
      </w:pPr>
    </w:p>
    <w:p w14:paraId="1F08A23B" w14:textId="294467C2" w:rsidR="009E419D" w:rsidRDefault="009E419D" w:rsidP="001B4B99">
      <w:pPr>
        <w:spacing w:line="240" w:lineRule="auto"/>
        <w:jc w:val="both"/>
        <w:rPr>
          <w:rFonts w:ascii="Times New Roman" w:eastAsia="Times New Roman" w:hAnsi="Times New Roman" w:cs="Times New Roman"/>
          <w:sz w:val="24"/>
          <w:szCs w:val="24"/>
        </w:rPr>
      </w:pPr>
    </w:p>
    <w:p w14:paraId="404D4B67" w14:textId="705284A8" w:rsidR="009E419D" w:rsidRDefault="009E419D" w:rsidP="001B4B99">
      <w:pPr>
        <w:spacing w:line="240" w:lineRule="auto"/>
        <w:jc w:val="both"/>
        <w:rPr>
          <w:rFonts w:ascii="Times New Roman" w:eastAsia="Times New Roman" w:hAnsi="Times New Roman" w:cs="Times New Roman"/>
          <w:sz w:val="24"/>
          <w:szCs w:val="24"/>
        </w:rPr>
      </w:pPr>
    </w:p>
    <w:p w14:paraId="28B823DC" w14:textId="3B446818" w:rsidR="009E419D" w:rsidRDefault="009E419D" w:rsidP="001B4B99">
      <w:pPr>
        <w:spacing w:line="240" w:lineRule="auto"/>
        <w:jc w:val="both"/>
        <w:rPr>
          <w:rFonts w:ascii="Times New Roman" w:eastAsia="Times New Roman" w:hAnsi="Times New Roman" w:cs="Times New Roman"/>
          <w:sz w:val="24"/>
          <w:szCs w:val="24"/>
        </w:rPr>
      </w:pPr>
    </w:p>
    <w:p w14:paraId="4A5A2AE6" w14:textId="002C8CA8" w:rsidR="009E419D" w:rsidRDefault="009E419D" w:rsidP="001B4B99">
      <w:pPr>
        <w:spacing w:line="240" w:lineRule="auto"/>
        <w:jc w:val="both"/>
        <w:rPr>
          <w:rFonts w:ascii="Times New Roman" w:eastAsia="Times New Roman" w:hAnsi="Times New Roman" w:cs="Times New Roman"/>
          <w:sz w:val="24"/>
          <w:szCs w:val="24"/>
        </w:rPr>
      </w:pPr>
    </w:p>
    <w:p w14:paraId="481CA701" w14:textId="0E3F9E05" w:rsidR="009E419D" w:rsidRDefault="009E419D" w:rsidP="001B4B99">
      <w:pPr>
        <w:spacing w:line="240" w:lineRule="auto"/>
        <w:jc w:val="both"/>
        <w:rPr>
          <w:rFonts w:ascii="Times New Roman" w:eastAsia="Times New Roman" w:hAnsi="Times New Roman" w:cs="Times New Roman"/>
          <w:sz w:val="24"/>
          <w:szCs w:val="24"/>
        </w:rPr>
      </w:pPr>
    </w:p>
    <w:p w14:paraId="399DE0B6" w14:textId="78C2771D" w:rsidR="009E419D" w:rsidRDefault="009E419D" w:rsidP="001B4B99">
      <w:pPr>
        <w:spacing w:line="240" w:lineRule="auto"/>
        <w:jc w:val="both"/>
        <w:rPr>
          <w:rFonts w:ascii="Times New Roman" w:eastAsia="Times New Roman" w:hAnsi="Times New Roman" w:cs="Times New Roman"/>
          <w:sz w:val="24"/>
          <w:szCs w:val="24"/>
        </w:rPr>
      </w:pPr>
    </w:p>
    <w:p w14:paraId="57607AEF" w14:textId="2B591624" w:rsidR="009E419D" w:rsidRDefault="009E419D" w:rsidP="001B4B99">
      <w:pPr>
        <w:spacing w:line="240" w:lineRule="auto"/>
        <w:jc w:val="both"/>
        <w:rPr>
          <w:rFonts w:ascii="Times New Roman" w:eastAsia="Times New Roman" w:hAnsi="Times New Roman" w:cs="Times New Roman"/>
          <w:sz w:val="24"/>
          <w:szCs w:val="24"/>
        </w:rPr>
      </w:pPr>
    </w:p>
    <w:p w14:paraId="13B32B76" w14:textId="5B97132D" w:rsidR="009E419D" w:rsidRDefault="009E419D" w:rsidP="001B4B99">
      <w:pPr>
        <w:spacing w:line="240" w:lineRule="auto"/>
        <w:jc w:val="both"/>
        <w:rPr>
          <w:rFonts w:ascii="Times New Roman" w:eastAsia="Times New Roman" w:hAnsi="Times New Roman" w:cs="Times New Roman"/>
          <w:sz w:val="24"/>
          <w:szCs w:val="24"/>
        </w:rPr>
      </w:pPr>
    </w:p>
    <w:p w14:paraId="4DC77FDC" w14:textId="798104F1" w:rsidR="009E419D" w:rsidRDefault="009E419D" w:rsidP="001B4B99">
      <w:pPr>
        <w:spacing w:line="240" w:lineRule="auto"/>
        <w:jc w:val="both"/>
        <w:rPr>
          <w:rFonts w:ascii="Times New Roman" w:eastAsia="Times New Roman" w:hAnsi="Times New Roman" w:cs="Times New Roman"/>
          <w:sz w:val="24"/>
          <w:szCs w:val="24"/>
        </w:rPr>
      </w:pPr>
    </w:p>
    <w:p w14:paraId="65A79293" w14:textId="68AF0983" w:rsidR="009E419D" w:rsidRDefault="009E419D" w:rsidP="001B4B99">
      <w:pPr>
        <w:spacing w:line="240" w:lineRule="auto"/>
        <w:jc w:val="both"/>
        <w:rPr>
          <w:rFonts w:ascii="Times New Roman" w:eastAsia="Times New Roman" w:hAnsi="Times New Roman" w:cs="Times New Roman"/>
          <w:sz w:val="24"/>
          <w:szCs w:val="24"/>
        </w:rPr>
      </w:pPr>
    </w:p>
    <w:p w14:paraId="1E0CC6F3" w14:textId="77777777" w:rsidR="009E419D" w:rsidRDefault="009E419D" w:rsidP="001B4B99">
      <w:pPr>
        <w:spacing w:line="240" w:lineRule="auto"/>
        <w:jc w:val="both"/>
        <w:rPr>
          <w:rFonts w:ascii="Times New Roman" w:eastAsia="Times New Roman" w:hAnsi="Times New Roman" w:cs="Times New Roman"/>
          <w:sz w:val="24"/>
          <w:szCs w:val="24"/>
        </w:rPr>
      </w:pPr>
    </w:p>
    <w:p w14:paraId="2B666A39" w14:textId="77777777" w:rsidR="009E0FFC" w:rsidRPr="00DF0B57" w:rsidRDefault="006B1808" w:rsidP="00B16FD8">
      <w:pPr>
        <w:spacing w:line="360" w:lineRule="auto"/>
        <w:jc w:val="both"/>
        <w:rPr>
          <w:rFonts w:ascii="Times New Roman" w:eastAsia="Times New Roman" w:hAnsi="Times New Roman" w:cs="Times New Roman"/>
          <w:b/>
          <w:sz w:val="24"/>
          <w:szCs w:val="24"/>
        </w:rPr>
      </w:pPr>
      <w:r w:rsidRPr="00DF0B57">
        <w:rPr>
          <w:rFonts w:ascii="Times New Roman" w:eastAsia="Times New Roman" w:hAnsi="Times New Roman" w:cs="Times New Roman"/>
          <w:b/>
          <w:sz w:val="24"/>
          <w:szCs w:val="24"/>
        </w:rPr>
        <w:lastRenderedPageBreak/>
        <w:t>Referencias:</w:t>
      </w:r>
    </w:p>
    <w:p w14:paraId="1305D23E" w14:textId="77777777" w:rsidR="009E0FFC" w:rsidRPr="00DF0B57" w:rsidRDefault="006B1808" w:rsidP="00B16FD8">
      <w:pPr>
        <w:widowControl w:val="0"/>
        <w:numPr>
          <w:ilvl w:val="0"/>
          <w:numId w:val="1"/>
        </w:numPr>
        <w:pBdr>
          <w:top w:val="nil"/>
          <w:left w:val="nil"/>
          <w:bottom w:val="nil"/>
          <w:right w:val="nil"/>
          <w:between w:val="nil"/>
        </w:pBdr>
        <w:spacing w:before="99" w:after="0" w:line="360" w:lineRule="auto"/>
        <w:jc w:val="both"/>
        <w:rPr>
          <w:rFonts w:ascii="Times New Roman" w:eastAsia="Times New Roman" w:hAnsi="Times New Roman" w:cs="Times New Roman"/>
          <w:sz w:val="24"/>
          <w:szCs w:val="24"/>
        </w:rPr>
      </w:pPr>
      <w:proofErr w:type="spellStart"/>
      <w:r w:rsidRPr="00DF0B57">
        <w:rPr>
          <w:rFonts w:ascii="Times New Roman" w:eastAsia="Times New Roman" w:hAnsi="Times New Roman" w:cs="Times New Roman"/>
          <w:sz w:val="24"/>
          <w:szCs w:val="24"/>
        </w:rPr>
        <w:t>Aledo</w:t>
      </w:r>
      <w:proofErr w:type="spellEnd"/>
      <w:r w:rsidRPr="00DF0B57">
        <w:rPr>
          <w:rFonts w:ascii="Times New Roman" w:eastAsia="Times New Roman" w:hAnsi="Times New Roman" w:cs="Times New Roman"/>
          <w:sz w:val="24"/>
          <w:szCs w:val="24"/>
        </w:rPr>
        <w:t xml:space="preserve">, A., Ortiz, G., Aznar-Crespo, P., Mañas, J., Jimeno, I., &amp; Climent-Gil, E. (2020, April 14). Vulnerabilidad social y el modelo turístico-residencial español: escenarios frente a la crisis de la COVID-19. </w:t>
      </w:r>
      <w:r w:rsidRPr="00DF0B57">
        <w:rPr>
          <w:rFonts w:ascii="Times New Roman" w:eastAsia="Times New Roman" w:hAnsi="Times New Roman" w:cs="Times New Roman"/>
          <w:i/>
          <w:sz w:val="24"/>
          <w:szCs w:val="24"/>
        </w:rPr>
        <w:t>ALBA SUD Investigación y Comunicación Para El Desarrollo</w:t>
      </w:r>
      <w:r w:rsidRPr="00DF0B57">
        <w:rPr>
          <w:rFonts w:ascii="Times New Roman" w:eastAsia="Times New Roman" w:hAnsi="Times New Roman" w:cs="Times New Roman"/>
          <w:sz w:val="24"/>
          <w:szCs w:val="24"/>
        </w:rPr>
        <w:t xml:space="preserve">. </w:t>
      </w:r>
      <w:hyperlink r:id="rId17">
        <w:r w:rsidRPr="00DF0B57">
          <w:rPr>
            <w:rFonts w:ascii="Times New Roman" w:eastAsia="Times New Roman" w:hAnsi="Times New Roman" w:cs="Times New Roman"/>
            <w:sz w:val="24"/>
            <w:szCs w:val="24"/>
            <w:u w:val="single"/>
          </w:rPr>
          <w:t>http://www.albasud.org/noticia/es/1202/vulnerabilidad-social-y-el-modelo-tur-stico-residencial-espa-ol-escenarios-frente-a-la-crisis-de-la-covid-19</w:t>
        </w:r>
      </w:hyperlink>
    </w:p>
    <w:p w14:paraId="14C461B8" w14:textId="77777777" w:rsidR="007D2CB1" w:rsidRDefault="006B1808" w:rsidP="007D2CB1">
      <w:pPr>
        <w:widowControl w:val="0"/>
        <w:numPr>
          <w:ilvl w:val="0"/>
          <w:numId w:val="1"/>
        </w:numPr>
        <w:pBdr>
          <w:top w:val="nil"/>
          <w:left w:val="nil"/>
          <w:bottom w:val="nil"/>
          <w:right w:val="nil"/>
          <w:between w:val="nil"/>
        </w:pBdr>
        <w:spacing w:before="99" w:after="0" w:line="36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 xml:space="preserve">Arellano Salazar, P. R., &amp; Chapa Cantú, J. C. (2017). Modelo de equilibrio general para el turismo </w:t>
      </w:r>
      <w:r w:rsidRPr="007D2CB1">
        <w:rPr>
          <w:rFonts w:ascii="Times New Roman" w:eastAsia="Times New Roman" w:hAnsi="Times New Roman" w:cs="Times New Roman"/>
          <w:sz w:val="24"/>
          <w:szCs w:val="24"/>
        </w:rPr>
        <w:t xml:space="preserve">nacional en México. </w:t>
      </w:r>
      <w:proofErr w:type="spellStart"/>
      <w:r w:rsidRPr="007D2CB1">
        <w:rPr>
          <w:rFonts w:ascii="Times New Roman" w:eastAsia="Times New Roman" w:hAnsi="Times New Roman" w:cs="Times New Roman"/>
          <w:sz w:val="24"/>
          <w:szCs w:val="24"/>
        </w:rPr>
        <w:t>EconoQuantum</w:t>
      </w:r>
      <w:proofErr w:type="spellEnd"/>
      <w:r w:rsidRPr="007D2CB1">
        <w:rPr>
          <w:rFonts w:ascii="Times New Roman" w:eastAsia="Times New Roman" w:hAnsi="Times New Roman" w:cs="Times New Roman"/>
          <w:sz w:val="24"/>
          <w:szCs w:val="24"/>
        </w:rPr>
        <w:t>, 14(2), 25-45.</w:t>
      </w:r>
    </w:p>
    <w:p w14:paraId="7B57C78B" w14:textId="1738BF48" w:rsidR="00E63856" w:rsidRPr="007D2CB1" w:rsidRDefault="00E63856" w:rsidP="00E63856">
      <w:pPr>
        <w:widowControl w:val="0"/>
        <w:numPr>
          <w:ilvl w:val="0"/>
          <w:numId w:val="1"/>
        </w:numPr>
        <w:pBdr>
          <w:top w:val="nil"/>
          <w:left w:val="nil"/>
          <w:bottom w:val="nil"/>
          <w:right w:val="nil"/>
          <w:between w:val="nil"/>
        </w:pBdr>
        <w:spacing w:before="99" w:after="0" w:line="360" w:lineRule="auto"/>
        <w:jc w:val="both"/>
        <w:rPr>
          <w:rFonts w:ascii="Times New Roman" w:eastAsia="Times New Roman" w:hAnsi="Times New Roman" w:cs="Times New Roman"/>
          <w:sz w:val="28"/>
          <w:szCs w:val="28"/>
        </w:rPr>
      </w:pPr>
      <w:r w:rsidRPr="007D2CB1">
        <w:rPr>
          <w:rFonts w:ascii="Times New Roman" w:hAnsi="Times New Roman" w:cs="Times New Roman"/>
          <w:sz w:val="24"/>
          <w:szCs w:val="24"/>
        </w:rPr>
        <w:t xml:space="preserve">Arroyo, L., </w:t>
      </w:r>
      <w:proofErr w:type="spellStart"/>
      <w:r w:rsidRPr="007D2CB1">
        <w:rPr>
          <w:rFonts w:ascii="Times New Roman" w:hAnsi="Times New Roman" w:cs="Times New Roman"/>
          <w:sz w:val="24"/>
          <w:szCs w:val="24"/>
        </w:rPr>
        <w:t>Segrado</w:t>
      </w:r>
      <w:proofErr w:type="spellEnd"/>
      <w:r w:rsidRPr="007D2CB1">
        <w:rPr>
          <w:rFonts w:ascii="Times New Roman" w:hAnsi="Times New Roman" w:cs="Times New Roman"/>
          <w:sz w:val="24"/>
          <w:szCs w:val="24"/>
        </w:rPr>
        <w:t>, R., Oscar Frausto, O., González, C. y Colín, O. (2018) “Organización territorial y aprovechamiento turístico sustentable en el Parque Nacional Arrecifes Cozumel, México”, Revista Geográfica de América central, Nº 61E (3) Especial CLAG, ISSN 1011-484X, Julio-diciembre 2018, pp. 237-261</w:t>
      </w:r>
    </w:p>
    <w:p w14:paraId="2295D46E" w14:textId="77777777" w:rsidR="009E0FFC" w:rsidRPr="00DF0B57" w:rsidRDefault="006B1808" w:rsidP="00B16FD8">
      <w:pPr>
        <w:widowControl w:val="0"/>
        <w:numPr>
          <w:ilvl w:val="0"/>
          <w:numId w:val="1"/>
        </w:numPr>
        <w:spacing w:after="0" w:line="360" w:lineRule="auto"/>
        <w:jc w:val="both"/>
        <w:rPr>
          <w:rFonts w:ascii="Times New Roman" w:eastAsia="Arial" w:hAnsi="Times New Roman" w:cs="Times New Roman"/>
          <w:sz w:val="24"/>
          <w:szCs w:val="24"/>
        </w:rPr>
      </w:pPr>
      <w:r w:rsidRPr="00DF0B57">
        <w:rPr>
          <w:rFonts w:ascii="Times New Roman" w:eastAsia="Arial" w:hAnsi="Times New Roman" w:cs="Times New Roman"/>
          <w:sz w:val="24"/>
          <w:szCs w:val="24"/>
        </w:rPr>
        <w:t xml:space="preserve">Arroyo A. L y Frausto M.O. (abril, 2020) Organización territorial del turismo litoral: Costa Caribe de México. Primera edición. Aracne </w:t>
      </w:r>
      <w:proofErr w:type="spellStart"/>
      <w:r w:rsidRPr="00DF0B57">
        <w:rPr>
          <w:rFonts w:ascii="Times New Roman" w:eastAsia="Arial" w:hAnsi="Times New Roman" w:cs="Times New Roman"/>
          <w:sz w:val="24"/>
          <w:szCs w:val="24"/>
        </w:rPr>
        <w:t>editrice</w:t>
      </w:r>
      <w:proofErr w:type="spellEnd"/>
      <w:r w:rsidRPr="00DF0B57">
        <w:rPr>
          <w:rFonts w:ascii="Times New Roman" w:eastAsia="Arial" w:hAnsi="Times New Roman" w:cs="Times New Roman"/>
          <w:sz w:val="24"/>
          <w:szCs w:val="24"/>
        </w:rPr>
        <w:t>: Italia. ISBN 978-88-255-3228-9. Pp. 232.</w:t>
      </w:r>
    </w:p>
    <w:p w14:paraId="69033562" w14:textId="77777777" w:rsidR="009E0FFC" w:rsidRPr="00DF0B57" w:rsidRDefault="006B1808" w:rsidP="00B16FD8">
      <w:pPr>
        <w:widowControl w:val="0"/>
        <w:numPr>
          <w:ilvl w:val="0"/>
          <w:numId w:val="1"/>
        </w:numPr>
        <w:pBdr>
          <w:top w:val="nil"/>
          <w:left w:val="nil"/>
          <w:bottom w:val="nil"/>
          <w:right w:val="nil"/>
          <w:between w:val="nil"/>
        </w:pBdr>
        <w:spacing w:before="99" w:after="0" w:line="36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lang w:val="pt-PT"/>
        </w:rPr>
        <w:t xml:space="preserve">Auza-Santiváñez, J. C., &amp; Dorta-Contreras, A. J. (2020). </w:t>
      </w:r>
      <w:r w:rsidRPr="00DF0B57">
        <w:rPr>
          <w:rFonts w:ascii="Times New Roman" w:eastAsia="Times New Roman" w:hAnsi="Times New Roman" w:cs="Times New Roman"/>
          <w:sz w:val="24"/>
          <w:szCs w:val="24"/>
        </w:rPr>
        <w:t xml:space="preserve">La COVID-19 y los desafíos que impone para el profesional de la salud en Cuba. </w:t>
      </w:r>
      <w:r w:rsidRPr="00DF0B57">
        <w:rPr>
          <w:rFonts w:ascii="Times New Roman" w:eastAsia="Times New Roman" w:hAnsi="Times New Roman" w:cs="Times New Roman"/>
          <w:i/>
          <w:sz w:val="24"/>
          <w:szCs w:val="24"/>
        </w:rPr>
        <w:t>Revista Cubana de Investigaciones Biomédicas</w:t>
      </w:r>
      <w:r w:rsidRPr="00DF0B57">
        <w:rPr>
          <w:rFonts w:ascii="Times New Roman" w:eastAsia="Times New Roman" w:hAnsi="Times New Roman" w:cs="Times New Roman"/>
          <w:sz w:val="24"/>
          <w:szCs w:val="24"/>
        </w:rPr>
        <w:t xml:space="preserve">, 39(3). </w:t>
      </w:r>
    </w:p>
    <w:p w14:paraId="3B23DDFF" w14:textId="77777777" w:rsidR="009E0FFC" w:rsidRPr="00DF0B57" w:rsidRDefault="006B1808" w:rsidP="00B16FD8">
      <w:pPr>
        <w:widowControl w:val="0"/>
        <w:numPr>
          <w:ilvl w:val="0"/>
          <w:numId w:val="1"/>
        </w:numPr>
        <w:pBdr>
          <w:top w:val="nil"/>
          <w:left w:val="nil"/>
          <w:bottom w:val="nil"/>
          <w:right w:val="nil"/>
          <w:between w:val="nil"/>
        </w:pBdr>
        <w:spacing w:before="99" w:after="0" w:line="36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 xml:space="preserve">Administración Portuaria Integral de Quintana Roo (APIQROO). (2019, 2020). </w:t>
      </w:r>
      <w:r w:rsidRPr="00DF0B57">
        <w:rPr>
          <w:rFonts w:ascii="Times New Roman" w:eastAsia="Times New Roman" w:hAnsi="Times New Roman" w:cs="Times New Roman"/>
          <w:i/>
          <w:sz w:val="24"/>
          <w:szCs w:val="24"/>
        </w:rPr>
        <w:t>Portal de estadísticas.</w:t>
      </w:r>
      <w:r w:rsidRPr="00DF0B57">
        <w:rPr>
          <w:rFonts w:ascii="Times New Roman" w:eastAsia="Times New Roman" w:hAnsi="Times New Roman" w:cs="Times New Roman"/>
          <w:sz w:val="24"/>
          <w:szCs w:val="24"/>
        </w:rPr>
        <w:t xml:space="preserve"> Recuperado el 25 de noviembre en: </w:t>
      </w:r>
      <w:hyperlink r:id="rId18">
        <w:r w:rsidRPr="00DF0B57">
          <w:rPr>
            <w:rFonts w:ascii="Times New Roman" w:eastAsia="Times New Roman" w:hAnsi="Times New Roman" w:cs="Times New Roman"/>
            <w:sz w:val="24"/>
            <w:szCs w:val="24"/>
            <w:u w:val="single"/>
          </w:rPr>
          <w:t>http://servicios.apiroo.com.mx/estadistica/</w:t>
        </w:r>
      </w:hyperlink>
    </w:p>
    <w:p w14:paraId="6A0860F7" w14:textId="77777777" w:rsidR="009E0FFC" w:rsidRPr="00DF0B57" w:rsidRDefault="006B1808" w:rsidP="00B16FD8">
      <w:pPr>
        <w:widowControl w:val="0"/>
        <w:numPr>
          <w:ilvl w:val="0"/>
          <w:numId w:val="1"/>
        </w:numPr>
        <w:pBdr>
          <w:top w:val="nil"/>
          <w:left w:val="nil"/>
          <w:bottom w:val="nil"/>
          <w:right w:val="nil"/>
          <w:between w:val="nil"/>
        </w:pBdr>
        <w:spacing w:before="99" w:after="0" w:line="36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 xml:space="preserve">Águila, C., (12 de marzo de 2020). Reconoce Carlos Joaquín afectaciones al turismo por pandemia. </w:t>
      </w:r>
      <w:r w:rsidRPr="00DF0B57">
        <w:rPr>
          <w:rFonts w:ascii="Times New Roman" w:eastAsia="Times New Roman" w:hAnsi="Times New Roman" w:cs="Times New Roman"/>
          <w:i/>
          <w:sz w:val="24"/>
          <w:szCs w:val="24"/>
        </w:rPr>
        <w:t xml:space="preserve">La Jornada Maya. </w:t>
      </w:r>
      <w:hyperlink r:id="rId19">
        <w:r w:rsidRPr="00DF0B57">
          <w:rPr>
            <w:rFonts w:ascii="Times New Roman" w:eastAsia="Times New Roman" w:hAnsi="Times New Roman" w:cs="Times New Roman"/>
            <w:sz w:val="24"/>
            <w:szCs w:val="24"/>
            <w:u w:val="single"/>
          </w:rPr>
          <w:t>https://www.lajornadamaya.mx/2020-03-12/Reconoce-Carlos-Joaquin-afectaciones-al-turismo-por-pandemia</w:t>
        </w:r>
      </w:hyperlink>
    </w:p>
    <w:p w14:paraId="5E7CE20F" w14:textId="77777777" w:rsidR="009E0FFC" w:rsidRPr="00DF0B57" w:rsidRDefault="006B1808" w:rsidP="00B16FD8">
      <w:pPr>
        <w:widowControl w:val="0"/>
        <w:numPr>
          <w:ilvl w:val="0"/>
          <w:numId w:val="1"/>
        </w:numPr>
        <w:pBdr>
          <w:top w:val="nil"/>
          <w:left w:val="nil"/>
          <w:bottom w:val="nil"/>
          <w:right w:val="nil"/>
          <w:between w:val="nil"/>
        </w:pBdr>
        <w:spacing w:before="99" w:after="0" w:line="36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 xml:space="preserve">Barragán, A., (2009). El Impacto de la contingencia sanitaria por el Virus de Influenza Humana en el Sector Turismo en México al segundo trimestre de 2009. </w:t>
      </w:r>
      <w:hyperlink r:id="rId20">
        <w:r w:rsidRPr="00DF0B57">
          <w:rPr>
            <w:rFonts w:ascii="Times New Roman" w:eastAsia="Times New Roman" w:hAnsi="Times New Roman" w:cs="Times New Roman"/>
            <w:sz w:val="24"/>
            <w:szCs w:val="24"/>
            <w:u w:val="single"/>
          </w:rPr>
          <w:t>https://www.cefp.gob.mx/intr/edocumentos/pdf/cefp/2009/cefp0522009.pdf</w:t>
        </w:r>
      </w:hyperlink>
    </w:p>
    <w:p w14:paraId="77F93CBA" w14:textId="77777777" w:rsidR="009E0FFC" w:rsidRPr="00DF0B57" w:rsidRDefault="006B1808" w:rsidP="00B16FD8">
      <w:pPr>
        <w:widowControl w:val="0"/>
        <w:numPr>
          <w:ilvl w:val="0"/>
          <w:numId w:val="1"/>
        </w:numPr>
        <w:pBdr>
          <w:top w:val="nil"/>
          <w:left w:val="nil"/>
          <w:bottom w:val="nil"/>
          <w:right w:val="nil"/>
          <w:between w:val="nil"/>
        </w:pBdr>
        <w:spacing w:before="99" w:after="0" w:line="36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 xml:space="preserve">Cabezas C. (2020), “Pandemia del COVID-19: tormentas y retos”. </w:t>
      </w:r>
      <w:proofErr w:type="spellStart"/>
      <w:r w:rsidRPr="00DF0B57">
        <w:rPr>
          <w:rFonts w:ascii="Times New Roman" w:eastAsia="Times New Roman" w:hAnsi="Times New Roman" w:cs="Times New Roman"/>
          <w:sz w:val="24"/>
          <w:szCs w:val="24"/>
        </w:rPr>
        <w:t>Rev</w:t>
      </w:r>
      <w:proofErr w:type="spellEnd"/>
      <w:r w:rsidRPr="00DF0B57">
        <w:rPr>
          <w:rFonts w:ascii="Times New Roman" w:eastAsia="Times New Roman" w:hAnsi="Times New Roman" w:cs="Times New Roman"/>
          <w:sz w:val="24"/>
          <w:szCs w:val="24"/>
        </w:rPr>
        <w:t xml:space="preserve"> </w:t>
      </w:r>
      <w:proofErr w:type="spellStart"/>
      <w:r w:rsidRPr="00DF0B57">
        <w:rPr>
          <w:rFonts w:ascii="Times New Roman" w:eastAsia="Times New Roman" w:hAnsi="Times New Roman" w:cs="Times New Roman"/>
          <w:sz w:val="24"/>
          <w:szCs w:val="24"/>
        </w:rPr>
        <w:t>Peru</w:t>
      </w:r>
      <w:proofErr w:type="spellEnd"/>
      <w:r w:rsidRPr="00DF0B57">
        <w:rPr>
          <w:rFonts w:ascii="Times New Roman" w:eastAsia="Times New Roman" w:hAnsi="Times New Roman" w:cs="Times New Roman"/>
          <w:sz w:val="24"/>
          <w:szCs w:val="24"/>
        </w:rPr>
        <w:t xml:space="preserve"> </w:t>
      </w:r>
      <w:proofErr w:type="spellStart"/>
      <w:r w:rsidRPr="00DF0B57">
        <w:rPr>
          <w:rFonts w:ascii="Times New Roman" w:eastAsia="Times New Roman" w:hAnsi="Times New Roman" w:cs="Times New Roman"/>
          <w:sz w:val="24"/>
          <w:szCs w:val="24"/>
        </w:rPr>
        <w:t>Med</w:t>
      </w:r>
      <w:proofErr w:type="spellEnd"/>
      <w:r w:rsidRPr="00DF0B57">
        <w:rPr>
          <w:rFonts w:ascii="Times New Roman" w:eastAsia="Times New Roman" w:hAnsi="Times New Roman" w:cs="Times New Roman"/>
          <w:sz w:val="24"/>
          <w:szCs w:val="24"/>
        </w:rPr>
        <w:t xml:space="preserve"> </w:t>
      </w:r>
      <w:proofErr w:type="spellStart"/>
      <w:r w:rsidRPr="00DF0B57">
        <w:rPr>
          <w:rFonts w:ascii="Times New Roman" w:eastAsia="Times New Roman" w:hAnsi="Times New Roman" w:cs="Times New Roman"/>
          <w:sz w:val="24"/>
          <w:szCs w:val="24"/>
        </w:rPr>
        <w:t>Exp</w:t>
      </w:r>
      <w:proofErr w:type="spellEnd"/>
      <w:r w:rsidRPr="00DF0B57">
        <w:rPr>
          <w:rFonts w:ascii="Times New Roman" w:eastAsia="Times New Roman" w:hAnsi="Times New Roman" w:cs="Times New Roman"/>
          <w:sz w:val="24"/>
          <w:szCs w:val="24"/>
        </w:rPr>
        <w:t xml:space="preserve"> Salud Publica. 37(4):603-4. </w:t>
      </w:r>
      <w:proofErr w:type="spellStart"/>
      <w:r w:rsidRPr="00DF0B57">
        <w:rPr>
          <w:rFonts w:ascii="Times New Roman" w:eastAsia="Times New Roman" w:hAnsi="Times New Roman" w:cs="Times New Roman"/>
          <w:sz w:val="24"/>
          <w:szCs w:val="24"/>
        </w:rPr>
        <w:t>doi</w:t>
      </w:r>
      <w:proofErr w:type="spellEnd"/>
      <w:r w:rsidRPr="00DF0B57">
        <w:rPr>
          <w:rFonts w:ascii="Times New Roman" w:eastAsia="Times New Roman" w:hAnsi="Times New Roman" w:cs="Times New Roman"/>
          <w:sz w:val="24"/>
          <w:szCs w:val="24"/>
        </w:rPr>
        <w:t xml:space="preserve">: </w:t>
      </w:r>
      <w:hyperlink r:id="rId21">
        <w:r w:rsidRPr="00DF0B57">
          <w:rPr>
            <w:rFonts w:ascii="Times New Roman" w:eastAsia="Times New Roman" w:hAnsi="Times New Roman" w:cs="Times New Roman"/>
            <w:sz w:val="24"/>
            <w:szCs w:val="24"/>
            <w:u w:val="single"/>
          </w:rPr>
          <w:t>https://doi.org/10.17843/rpmesp.2020.374.6866</w:t>
        </w:r>
      </w:hyperlink>
      <w:r w:rsidRPr="00DF0B57">
        <w:rPr>
          <w:rFonts w:ascii="Times New Roman" w:eastAsia="Times New Roman" w:hAnsi="Times New Roman" w:cs="Times New Roman"/>
          <w:sz w:val="24"/>
          <w:szCs w:val="24"/>
        </w:rPr>
        <w:t>.</w:t>
      </w:r>
    </w:p>
    <w:p w14:paraId="2F9B9F43" w14:textId="77777777" w:rsidR="009E0FFC" w:rsidRPr="00DF0B57" w:rsidRDefault="006B1808" w:rsidP="00B16FD8">
      <w:pPr>
        <w:widowControl w:val="0"/>
        <w:numPr>
          <w:ilvl w:val="0"/>
          <w:numId w:val="1"/>
        </w:numPr>
        <w:pBdr>
          <w:top w:val="nil"/>
          <w:left w:val="nil"/>
          <w:bottom w:val="nil"/>
          <w:right w:val="nil"/>
          <w:between w:val="nil"/>
        </w:pBdr>
        <w:spacing w:before="99" w:after="0" w:line="36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 xml:space="preserve">Cañada, E. (2021, </w:t>
      </w:r>
      <w:proofErr w:type="spellStart"/>
      <w:r w:rsidRPr="00DF0B57">
        <w:rPr>
          <w:rFonts w:ascii="Times New Roman" w:eastAsia="Times New Roman" w:hAnsi="Times New Roman" w:cs="Times New Roman"/>
          <w:sz w:val="24"/>
          <w:szCs w:val="24"/>
        </w:rPr>
        <w:t>January</w:t>
      </w:r>
      <w:proofErr w:type="spellEnd"/>
      <w:r w:rsidRPr="00DF0B57">
        <w:rPr>
          <w:rFonts w:ascii="Times New Roman" w:eastAsia="Times New Roman" w:hAnsi="Times New Roman" w:cs="Times New Roman"/>
          <w:sz w:val="24"/>
          <w:szCs w:val="24"/>
        </w:rPr>
        <w:t xml:space="preserve"> 4). </w:t>
      </w:r>
      <w:r w:rsidRPr="00DF0B57">
        <w:rPr>
          <w:rFonts w:ascii="Times New Roman" w:eastAsia="Times New Roman" w:hAnsi="Times New Roman" w:cs="Times New Roman"/>
          <w:i/>
          <w:sz w:val="24"/>
          <w:szCs w:val="24"/>
        </w:rPr>
        <w:t xml:space="preserve">Trabajo turístico: nuevos riesgos de precarización </w:t>
      </w:r>
      <w:proofErr w:type="spellStart"/>
      <w:r w:rsidRPr="00DF0B57">
        <w:rPr>
          <w:rFonts w:ascii="Times New Roman" w:eastAsia="Times New Roman" w:hAnsi="Times New Roman" w:cs="Times New Roman"/>
          <w:i/>
          <w:sz w:val="24"/>
          <w:szCs w:val="24"/>
        </w:rPr>
        <w:t>pospandemia</w:t>
      </w:r>
      <w:proofErr w:type="spellEnd"/>
      <w:r w:rsidRPr="00DF0B57">
        <w:rPr>
          <w:rFonts w:ascii="Times New Roman" w:eastAsia="Times New Roman" w:hAnsi="Times New Roman" w:cs="Times New Roman"/>
          <w:sz w:val="24"/>
          <w:szCs w:val="24"/>
        </w:rPr>
        <w:t xml:space="preserve">. ALBA SUD Investigación y Comunicación Para El Desarrollo. </w:t>
      </w:r>
      <w:hyperlink r:id="rId22">
        <w:r w:rsidRPr="00DF0B57">
          <w:rPr>
            <w:rFonts w:ascii="Times New Roman" w:eastAsia="Times New Roman" w:hAnsi="Times New Roman" w:cs="Times New Roman"/>
            <w:sz w:val="24"/>
            <w:szCs w:val="24"/>
            <w:u w:val="single"/>
          </w:rPr>
          <w:t>http://www.albasud.org/blog/es/1287/trabajo-turistico-nuevos-riesgos-de-precarizacion-pospandemia</w:t>
        </w:r>
      </w:hyperlink>
    </w:p>
    <w:p w14:paraId="00399234" w14:textId="77777777" w:rsidR="009E0FFC" w:rsidRPr="00DF0B57" w:rsidRDefault="006B1808" w:rsidP="00B16FD8">
      <w:pPr>
        <w:widowControl w:val="0"/>
        <w:numPr>
          <w:ilvl w:val="0"/>
          <w:numId w:val="1"/>
        </w:numPr>
        <w:pBdr>
          <w:top w:val="nil"/>
          <w:left w:val="nil"/>
          <w:bottom w:val="nil"/>
          <w:right w:val="nil"/>
          <w:between w:val="nil"/>
        </w:pBdr>
        <w:spacing w:before="99" w:after="0" w:line="36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lastRenderedPageBreak/>
        <w:t xml:space="preserve">Castro, L. (07 de mayo, 2020), “Cae 97% y 99% operación en aeropuertos de Cancún y Cozumel, en abril”. </w:t>
      </w:r>
      <w:proofErr w:type="spellStart"/>
      <w:r w:rsidRPr="00DF0B57">
        <w:rPr>
          <w:rFonts w:ascii="Times New Roman" w:eastAsia="Times New Roman" w:hAnsi="Times New Roman" w:cs="Times New Roman"/>
          <w:i/>
          <w:sz w:val="24"/>
          <w:szCs w:val="24"/>
        </w:rPr>
        <w:t>Quadratín</w:t>
      </w:r>
      <w:proofErr w:type="spellEnd"/>
      <w:r w:rsidRPr="00DF0B57">
        <w:rPr>
          <w:rFonts w:ascii="Times New Roman" w:eastAsia="Times New Roman" w:hAnsi="Times New Roman" w:cs="Times New Roman"/>
          <w:i/>
          <w:sz w:val="24"/>
          <w:szCs w:val="24"/>
        </w:rPr>
        <w:t xml:space="preserve"> Quintana Roo.</w:t>
      </w:r>
      <w:r w:rsidRPr="00DF0B57">
        <w:rPr>
          <w:rFonts w:ascii="Times New Roman" w:eastAsia="Times New Roman" w:hAnsi="Times New Roman" w:cs="Times New Roman"/>
          <w:sz w:val="24"/>
          <w:szCs w:val="24"/>
        </w:rPr>
        <w:t xml:space="preserve"> En: </w:t>
      </w:r>
      <w:hyperlink r:id="rId23">
        <w:r w:rsidRPr="00DF0B57">
          <w:rPr>
            <w:rFonts w:ascii="Times New Roman" w:eastAsia="Times New Roman" w:hAnsi="Times New Roman" w:cs="Times New Roman"/>
            <w:sz w:val="24"/>
            <w:szCs w:val="24"/>
            <w:u w:val="single"/>
          </w:rPr>
          <w:t>https://tlaxcala.quadratin.com.mx/nacional/cae-97-y-99-operacion-en-aeropuertos-de-cancun-y-cozumel-en-abril/</w:t>
        </w:r>
      </w:hyperlink>
    </w:p>
    <w:p w14:paraId="3BAA8598" w14:textId="77777777" w:rsidR="009E0FFC" w:rsidRPr="00DF0B57" w:rsidRDefault="006B1808" w:rsidP="00B16FD8">
      <w:pPr>
        <w:widowControl w:val="0"/>
        <w:numPr>
          <w:ilvl w:val="0"/>
          <w:numId w:val="1"/>
        </w:numPr>
        <w:pBdr>
          <w:top w:val="nil"/>
          <w:left w:val="nil"/>
          <w:bottom w:val="nil"/>
          <w:right w:val="nil"/>
          <w:between w:val="nil"/>
        </w:pBdr>
        <w:spacing w:before="99" w:after="0" w:line="360" w:lineRule="auto"/>
        <w:jc w:val="both"/>
        <w:rPr>
          <w:rFonts w:ascii="Times New Roman" w:eastAsia="Times New Roman" w:hAnsi="Times New Roman" w:cs="Times New Roman"/>
          <w:sz w:val="24"/>
          <w:szCs w:val="24"/>
          <w:lang w:val="en-US"/>
        </w:rPr>
      </w:pPr>
      <w:proofErr w:type="spellStart"/>
      <w:r w:rsidRPr="00DF0B57">
        <w:rPr>
          <w:rFonts w:ascii="Times New Roman" w:eastAsia="Times New Roman" w:hAnsi="Times New Roman" w:cs="Times New Roman"/>
          <w:sz w:val="24"/>
          <w:szCs w:val="24"/>
        </w:rPr>
        <w:t>Dawood</w:t>
      </w:r>
      <w:proofErr w:type="spellEnd"/>
      <w:r w:rsidRPr="00DF0B57">
        <w:rPr>
          <w:rFonts w:ascii="Times New Roman" w:eastAsia="Times New Roman" w:hAnsi="Times New Roman" w:cs="Times New Roman"/>
          <w:sz w:val="24"/>
          <w:szCs w:val="24"/>
        </w:rPr>
        <w:t xml:space="preserve">, F. </w:t>
      </w:r>
      <w:r w:rsidRPr="00DF0B57">
        <w:rPr>
          <w:rFonts w:ascii="Times New Roman" w:eastAsia="Times New Roman" w:hAnsi="Times New Roman" w:cs="Times New Roman"/>
          <w:i/>
          <w:sz w:val="24"/>
          <w:szCs w:val="24"/>
        </w:rPr>
        <w:t xml:space="preserve">et al., </w:t>
      </w:r>
      <w:r w:rsidRPr="00DF0B57">
        <w:rPr>
          <w:rFonts w:ascii="Times New Roman" w:eastAsia="Times New Roman" w:hAnsi="Times New Roman" w:cs="Times New Roman"/>
          <w:sz w:val="24"/>
          <w:szCs w:val="24"/>
        </w:rPr>
        <w:t xml:space="preserve">(18 de junio de 2009). </w:t>
      </w:r>
      <w:r w:rsidRPr="00DF0B57">
        <w:rPr>
          <w:rFonts w:ascii="Times New Roman" w:eastAsia="Times New Roman" w:hAnsi="Times New Roman" w:cs="Times New Roman"/>
          <w:sz w:val="24"/>
          <w:szCs w:val="24"/>
          <w:lang w:val="en-US"/>
        </w:rPr>
        <w:t xml:space="preserve">Emergence of a Novel Swine-Origin Influenza A (H1N1) Virus in Humans. </w:t>
      </w:r>
      <w:r w:rsidRPr="00DF0B57">
        <w:rPr>
          <w:rFonts w:ascii="Times New Roman" w:eastAsia="Times New Roman" w:hAnsi="Times New Roman" w:cs="Times New Roman"/>
          <w:i/>
          <w:sz w:val="24"/>
          <w:szCs w:val="24"/>
          <w:lang w:val="en-US"/>
        </w:rPr>
        <w:t xml:space="preserve">The New England Journal of Medicine. </w:t>
      </w:r>
      <w:r w:rsidRPr="00DF0B57">
        <w:rPr>
          <w:rFonts w:ascii="Times New Roman" w:eastAsia="Times New Roman" w:hAnsi="Times New Roman" w:cs="Times New Roman"/>
          <w:sz w:val="24"/>
          <w:szCs w:val="24"/>
          <w:lang w:val="en-US"/>
        </w:rPr>
        <w:t xml:space="preserve">Vol. 360. </w:t>
      </w:r>
      <w:proofErr w:type="spellStart"/>
      <w:r w:rsidRPr="00DF0B57">
        <w:rPr>
          <w:rFonts w:ascii="Times New Roman" w:eastAsia="Times New Roman" w:hAnsi="Times New Roman" w:cs="Times New Roman"/>
          <w:sz w:val="24"/>
          <w:szCs w:val="24"/>
          <w:lang w:val="en-US"/>
        </w:rPr>
        <w:t>Núm</w:t>
      </w:r>
      <w:proofErr w:type="spellEnd"/>
      <w:r w:rsidRPr="00DF0B57">
        <w:rPr>
          <w:rFonts w:ascii="Times New Roman" w:eastAsia="Times New Roman" w:hAnsi="Times New Roman" w:cs="Times New Roman"/>
          <w:sz w:val="24"/>
          <w:szCs w:val="24"/>
          <w:lang w:val="en-US"/>
        </w:rPr>
        <w:t xml:space="preserve">. 25 </w:t>
      </w:r>
      <w:hyperlink r:id="rId24">
        <w:r w:rsidRPr="00DF0B57">
          <w:rPr>
            <w:rFonts w:ascii="Times New Roman" w:eastAsia="Times New Roman" w:hAnsi="Times New Roman" w:cs="Times New Roman"/>
            <w:sz w:val="24"/>
            <w:szCs w:val="24"/>
            <w:u w:val="single"/>
            <w:lang w:val="en-US"/>
          </w:rPr>
          <w:t>https://www.nejm.org/doi/pdf/10.1056/NEJMoa0903810</w:t>
        </w:r>
      </w:hyperlink>
    </w:p>
    <w:p w14:paraId="17D3F49C" w14:textId="77777777" w:rsidR="009E0FFC" w:rsidRPr="00DF0B57" w:rsidRDefault="006B1808" w:rsidP="00B16FD8">
      <w:pPr>
        <w:widowControl w:val="0"/>
        <w:numPr>
          <w:ilvl w:val="0"/>
          <w:numId w:val="1"/>
        </w:numPr>
        <w:pBdr>
          <w:top w:val="nil"/>
          <w:left w:val="nil"/>
          <w:bottom w:val="nil"/>
          <w:right w:val="nil"/>
          <w:between w:val="nil"/>
        </w:pBdr>
        <w:spacing w:before="99" w:after="0" w:line="360" w:lineRule="auto"/>
        <w:jc w:val="both"/>
        <w:rPr>
          <w:rFonts w:ascii="Times New Roman" w:eastAsia="Times New Roman" w:hAnsi="Times New Roman" w:cs="Times New Roman"/>
          <w:sz w:val="24"/>
          <w:szCs w:val="24"/>
        </w:rPr>
      </w:pPr>
      <w:proofErr w:type="spellStart"/>
      <w:r w:rsidRPr="00DF0B57">
        <w:rPr>
          <w:rFonts w:ascii="Times New Roman" w:eastAsia="Times New Roman" w:hAnsi="Times New Roman" w:cs="Times New Roman"/>
          <w:sz w:val="24"/>
          <w:szCs w:val="24"/>
        </w:rPr>
        <w:t>Dieckow</w:t>
      </w:r>
      <w:proofErr w:type="spellEnd"/>
      <w:r w:rsidRPr="00DF0B57">
        <w:rPr>
          <w:rFonts w:ascii="Times New Roman" w:eastAsia="Times New Roman" w:hAnsi="Times New Roman" w:cs="Times New Roman"/>
          <w:sz w:val="24"/>
          <w:szCs w:val="24"/>
        </w:rPr>
        <w:t xml:space="preserve">, L. M. (2020). El impacto económico del COVID 19 en el turismo y los escenarios post pandemia para las empresas. Revista </w:t>
      </w:r>
      <w:proofErr w:type="spellStart"/>
      <w:r w:rsidRPr="00DF0B57">
        <w:rPr>
          <w:rFonts w:ascii="Times New Roman" w:eastAsia="Times New Roman" w:hAnsi="Times New Roman" w:cs="Times New Roman"/>
          <w:sz w:val="24"/>
          <w:szCs w:val="24"/>
        </w:rPr>
        <w:t>Tekohá</w:t>
      </w:r>
      <w:proofErr w:type="spellEnd"/>
      <w:r w:rsidRPr="00DF0B57">
        <w:rPr>
          <w:rFonts w:ascii="Times New Roman" w:eastAsia="Times New Roman" w:hAnsi="Times New Roman" w:cs="Times New Roman"/>
          <w:sz w:val="24"/>
          <w:szCs w:val="24"/>
        </w:rPr>
        <w:t>, 1(10), 50-66.</w:t>
      </w:r>
    </w:p>
    <w:p w14:paraId="395BC51C" w14:textId="77777777" w:rsidR="009E0FFC" w:rsidRPr="00DF0B57" w:rsidRDefault="006B1808" w:rsidP="00B16FD8">
      <w:pPr>
        <w:widowControl w:val="0"/>
        <w:numPr>
          <w:ilvl w:val="0"/>
          <w:numId w:val="1"/>
        </w:numPr>
        <w:pBdr>
          <w:top w:val="nil"/>
          <w:left w:val="nil"/>
          <w:bottom w:val="nil"/>
          <w:right w:val="nil"/>
          <w:between w:val="nil"/>
        </w:pBdr>
        <w:spacing w:before="99" w:after="0" w:line="36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 xml:space="preserve">Enciso, A., (23 de marzo de 2020). Comienza la Jornada Nacional de Sana Distancia. </w:t>
      </w:r>
      <w:r w:rsidRPr="00DF0B57">
        <w:rPr>
          <w:rFonts w:ascii="Times New Roman" w:eastAsia="Times New Roman" w:hAnsi="Times New Roman" w:cs="Times New Roman"/>
          <w:i/>
          <w:sz w:val="24"/>
          <w:szCs w:val="24"/>
        </w:rPr>
        <w:t xml:space="preserve">La Jornada. </w:t>
      </w:r>
      <w:hyperlink r:id="rId25">
        <w:r w:rsidRPr="00DF0B57">
          <w:rPr>
            <w:rFonts w:ascii="Times New Roman" w:eastAsia="Times New Roman" w:hAnsi="Times New Roman" w:cs="Times New Roman"/>
            <w:sz w:val="24"/>
            <w:szCs w:val="24"/>
            <w:u w:val="single"/>
          </w:rPr>
          <w:t>https://www.jornada.com.mx/ultimas/politica/2020/03/23/comienza-la-jornada-nacional-de-sana-distancia-1056.html</w:t>
        </w:r>
      </w:hyperlink>
    </w:p>
    <w:p w14:paraId="10A5A51B" w14:textId="77777777" w:rsidR="009E0FFC" w:rsidRPr="00DF0B57" w:rsidRDefault="006B1808" w:rsidP="00B16FD8">
      <w:pPr>
        <w:widowControl w:val="0"/>
        <w:numPr>
          <w:ilvl w:val="0"/>
          <w:numId w:val="1"/>
        </w:numPr>
        <w:pBdr>
          <w:top w:val="nil"/>
          <w:left w:val="nil"/>
          <w:bottom w:val="nil"/>
          <w:right w:val="nil"/>
          <w:between w:val="nil"/>
        </w:pBdr>
        <w:spacing w:before="99" w:after="0" w:line="36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lang w:val="pt-PT"/>
        </w:rPr>
        <w:t xml:space="preserve">Falcón, V. V., Sánchez, F. C., &amp; Fernández, A. J. R. (2020). </w:t>
      </w:r>
      <w:r w:rsidRPr="00DF0B57">
        <w:rPr>
          <w:rFonts w:ascii="Times New Roman" w:eastAsia="Times New Roman" w:hAnsi="Times New Roman" w:cs="Times New Roman"/>
          <w:sz w:val="24"/>
          <w:szCs w:val="24"/>
        </w:rPr>
        <w:t>Impacto de la Covid-19 en el turismo mundial. Universidad y Sociedad, 12(S (1)), 207-216.</w:t>
      </w:r>
    </w:p>
    <w:p w14:paraId="3DBBBFCC" w14:textId="77777777" w:rsidR="009E0FFC" w:rsidRPr="00DF0B57" w:rsidRDefault="006B1808" w:rsidP="00B16FD8">
      <w:pPr>
        <w:widowControl w:val="0"/>
        <w:numPr>
          <w:ilvl w:val="0"/>
          <w:numId w:val="1"/>
        </w:numPr>
        <w:pBdr>
          <w:top w:val="nil"/>
          <w:left w:val="nil"/>
          <w:bottom w:val="nil"/>
          <w:right w:val="nil"/>
          <w:between w:val="nil"/>
        </w:pBdr>
        <w:spacing w:before="99" w:after="0" w:line="36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 xml:space="preserve">Fernández Marrero, F. (2020). Estudio de impactos de pandemias del siglo XXI en la economía y el sector turístico. Tesis para optar por el Grado en Turismo, Universidad de La Laguna en: </w:t>
      </w:r>
      <w:hyperlink r:id="rId26">
        <w:r w:rsidRPr="00DF0B57">
          <w:rPr>
            <w:rFonts w:ascii="Times New Roman" w:eastAsia="Times New Roman" w:hAnsi="Times New Roman" w:cs="Times New Roman"/>
            <w:sz w:val="24"/>
            <w:szCs w:val="24"/>
            <w:u w:val="single"/>
          </w:rPr>
          <w:t>https://riull.ull.es/xmlui/bitstream/handle/915/20571/Estudio%20de%20impactos%20de%20pandemias%20del%20siglo%20XXI%20en%20la%20economia%20y%20el%20sector%20turistico.pdf?sequence=1</w:t>
        </w:r>
      </w:hyperlink>
    </w:p>
    <w:p w14:paraId="66B9B76B" w14:textId="77777777" w:rsidR="009E0FFC" w:rsidRPr="00DF0B57" w:rsidRDefault="006B1808" w:rsidP="00B16FD8">
      <w:pPr>
        <w:widowControl w:val="0"/>
        <w:numPr>
          <w:ilvl w:val="0"/>
          <w:numId w:val="1"/>
        </w:numPr>
        <w:pBdr>
          <w:top w:val="nil"/>
          <w:left w:val="nil"/>
          <w:bottom w:val="nil"/>
          <w:right w:val="nil"/>
          <w:between w:val="nil"/>
        </w:pBdr>
        <w:spacing w:before="99" w:after="0" w:line="360" w:lineRule="auto"/>
        <w:jc w:val="both"/>
        <w:rPr>
          <w:rFonts w:ascii="Times New Roman" w:eastAsia="Times New Roman" w:hAnsi="Times New Roman" w:cs="Times New Roman"/>
          <w:sz w:val="24"/>
          <w:szCs w:val="24"/>
        </w:rPr>
      </w:pPr>
      <w:proofErr w:type="spellStart"/>
      <w:r w:rsidRPr="00DF0B57">
        <w:rPr>
          <w:rFonts w:ascii="Times New Roman" w:eastAsia="Times New Roman" w:hAnsi="Times New Roman" w:cs="Times New Roman"/>
          <w:sz w:val="24"/>
          <w:szCs w:val="24"/>
        </w:rPr>
        <w:t>Gualani</w:t>
      </w:r>
      <w:proofErr w:type="spellEnd"/>
      <w:r w:rsidRPr="00DF0B57">
        <w:rPr>
          <w:rFonts w:ascii="Times New Roman" w:eastAsia="Times New Roman" w:hAnsi="Times New Roman" w:cs="Times New Roman"/>
          <w:sz w:val="24"/>
          <w:szCs w:val="24"/>
        </w:rPr>
        <w:t xml:space="preserve">, A. y García-Rosales, J., (2020). Cronología – </w:t>
      </w:r>
      <w:proofErr w:type="spellStart"/>
      <w:r w:rsidRPr="00DF0B57">
        <w:rPr>
          <w:rFonts w:ascii="Times New Roman" w:eastAsia="Times New Roman" w:hAnsi="Times New Roman" w:cs="Times New Roman"/>
          <w:sz w:val="24"/>
          <w:szCs w:val="24"/>
        </w:rPr>
        <w:t>Covid</w:t>
      </w:r>
      <w:proofErr w:type="spellEnd"/>
      <w:r w:rsidRPr="00DF0B57">
        <w:rPr>
          <w:rFonts w:ascii="Times New Roman" w:eastAsia="Times New Roman" w:hAnsi="Times New Roman" w:cs="Times New Roman"/>
          <w:sz w:val="24"/>
          <w:szCs w:val="24"/>
        </w:rPr>
        <w:t xml:space="preserve"> Reference. </w:t>
      </w:r>
      <w:hyperlink r:id="rId27">
        <w:r w:rsidRPr="00DF0B57">
          <w:rPr>
            <w:rFonts w:ascii="Times New Roman" w:eastAsia="Times New Roman" w:hAnsi="Times New Roman" w:cs="Times New Roman"/>
            <w:sz w:val="24"/>
            <w:szCs w:val="24"/>
            <w:u w:val="single"/>
          </w:rPr>
          <w:t>https://covidreference.com/timeline_es</w:t>
        </w:r>
      </w:hyperlink>
    </w:p>
    <w:p w14:paraId="7DBE7A8E" w14:textId="77777777" w:rsidR="009E0FFC" w:rsidRPr="00DF0B57" w:rsidRDefault="006B1808" w:rsidP="00B16FD8">
      <w:pPr>
        <w:widowControl w:val="0"/>
        <w:numPr>
          <w:ilvl w:val="0"/>
          <w:numId w:val="1"/>
        </w:numPr>
        <w:pBdr>
          <w:top w:val="nil"/>
          <w:left w:val="nil"/>
          <w:bottom w:val="nil"/>
          <w:right w:val="nil"/>
          <w:between w:val="nil"/>
        </w:pBdr>
        <w:spacing w:before="99" w:after="0" w:line="36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 xml:space="preserve">Harvey, D. (2020). Política Anticapitalista en Tiempos de Coronavirus. </w:t>
      </w:r>
      <w:r w:rsidRPr="00DF0B57">
        <w:rPr>
          <w:rFonts w:ascii="Times New Roman" w:eastAsia="Times New Roman" w:hAnsi="Times New Roman" w:cs="Times New Roman"/>
          <w:i/>
          <w:sz w:val="24"/>
          <w:szCs w:val="24"/>
        </w:rPr>
        <w:t xml:space="preserve">Sopa de </w:t>
      </w:r>
      <w:proofErr w:type="spellStart"/>
      <w:r w:rsidRPr="00DF0B57">
        <w:rPr>
          <w:rFonts w:ascii="Times New Roman" w:eastAsia="Times New Roman" w:hAnsi="Times New Roman" w:cs="Times New Roman"/>
          <w:i/>
          <w:sz w:val="24"/>
          <w:szCs w:val="24"/>
        </w:rPr>
        <w:t>Whan</w:t>
      </w:r>
      <w:proofErr w:type="spellEnd"/>
      <w:r w:rsidRPr="00DF0B57">
        <w:rPr>
          <w:rFonts w:ascii="Times New Roman" w:eastAsia="Times New Roman" w:hAnsi="Times New Roman" w:cs="Times New Roman"/>
          <w:sz w:val="24"/>
          <w:szCs w:val="24"/>
        </w:rPr>
        <w:t xml:space="preserve">, </w:t>
      </w:r>
      <w:r w:rsidRPr="00DF0B57">
        <w:rPr>
          <w:rFonts w:ascii="Times New Roman" w:eastAsia="Times New Roman" w:hAnsi="Times New Roman" w:cs="Times New Roman"/>
          <w:i/>
          <w:sz w:val="24"/>
          <w:szCs w:val="24"/>
        </w:rPr>
        <w:t>1</w:t>
      </w:r>
      <w:r w:rsidRPr="00DF0B57">
        <w:rPr>
          <w:rFonts w:ascii="Times New Roman" w:eastAsia="Times New Roman" w:hAnsi="Times New Roman" w:cs="Times New Roman"/>
          <w:sz w:val="24"/>
          <w:szCs w:val="24"/>
        </w:rPr>
        <w:t xml:space="preserve">(1), 1–11. </w:t>
      </w:r>
      <w:hyperlink r:id="rId28">
        <w:r w:rsidRPr="00DF0B57">
          <w:rPr>
            <w:rFonts w:ascii="Times New Roman" w:eastAsia="Times New Roman" w:hAnsi="Times New Roman" w:cs="Times New Roman"/>
            <w:sz w:val="24"/>
            <w:szCs w:val="24"/>
            <w:u w:val="single"/>
          </w:rPr>
          <w:t>https://www.sinpermiso.info/textos/politica-anticapitalista-en-tiempos-de-covid-19</w:t>
        </w:r>
      </w:hyperlink>
    </w:p>
    <w:p w14:paraId="0F708F00" w14:textId="42C2C832" w:rsidR="009E0FFC" w:rsidRPr="001B67D4" w:rsidRDefault="006B1808" w:rsidP="00B16FD8">
      <w:pPr>
        <w:widowControl w:val="0"/>
        <w:numPr>
          <w:ilvl w:val="0"/>
          <w:numId w:val="1"/>
        </w:numPr>
        <w:pBdr>
          <w:top w:val="nil"/>
          <w:left w:val="nil"/>
          <w:bottom w:val="nil"/>
          <w:right w:val="nil"/>
          <w:between w:val="nil"/>
        </w:pBdr>
        <w:spacing w:before="99" w:after="0" w:line="360" w:lineRule="auto"/>
        <w:jc w:val="both"/>
        <w:rPr>
          <w:rFonts w:ascii="Times New Roman" w:eastAsia="Times New Roman" w:hAnsi="Times New Roman" w:cs="Times New Roman"/>
          <w:sz w:val="24"/>
          <w:szCs w:val="24"/>
        </w:rPr>
      </w:pPr>
      <w:r w:rsidRPr="001B67D4">
        <w:rPr>
          <w:rFonts w:ascii="Times New Roman" w:eastAsia="Times New Roman" w:hAnsi="Times New Roman" w:cs="Times New Roman"/>
          <w:sz w:val="24"/>
          <w:szCs w:val="24"/>
        </w:rPr>
        <w:t>H.</w:t>
      </w:r>
      <w:r w:rsidR="001B67D4" w:rsidRPr="001B67D4">
        <w:rPr>
          <w:rFonts w:ascii="Times New Roman" w:eastAsia="Times New Roman" w:hAnsi="Times New Roman" w:cs="Times New Roman"/>
          <w:sz w:val="24"/>
          <w:szCs w:val="24"/>
        </w:rPr>
        <w:t xml:space="preserve"> </w:t>
      </w:r>
      <w:r w:rsidRPr="001B67D4">
        <w:rPr>
          <w:rFonts w:ascii="Times New Roman" w:eastAsia="Times New Roman" w:hAnsi="Times New Roman" w:cs="Times New Roman"/>
          <w:sz w:val="24"/>
          <w:szCs w:val="24"/>
        </w:rPr>
        <w:t>Ayuntamiento de Cozumel (2021-2024). “Nuestro municipio” en el portal el H. Ayuntamiento de Cozumel, en https://cozumel.gob.mx/nuestro-municipio/</w:t>
      </w:r>
    </w:p>
    <w:p w14:paraId="6C2ABEC0" w14:textId="77777777" w:rsidR="009E0FFC" w:rsidRPr="00DF0B57" w:rsidRDefault="006B1808" w:rsidP="00B16FD8">
      <w:pPr>
        <w:widowControl w:val="0"/>
        <w:numPr>
          <w:ilvl w:val="0"/>
          <w:numId w:val="1"/>
        </w:numPr>
        <w:pBdr>
          <w:top w:val="nil"/>
          <w:left w:val="nil"/>
          <w:bottom w:val="nil"/>
          <w:right w:val="nil"/>
          <w:between w:val="nil"/>
        </w:pBdr>
        <w:spacing w:before="99" w:after="0" w:line="36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 xml:space="preserve">INEGI (2020). </w:t>
      </w:r>
      <w:r w:rsidRPr="00DF0B57">
        <w:rPr>
          <w:rFonts w:ascii="Times New Roman" w:eastAsia="Times New Roman" w:hAnsi="Times New Roman" w:cs="Times New Roman"/>
          <w:i/>
          <w:sz w:val="24"/>
          <w:szCs w:val="24"/>
        </w:rPr>
        <w:t>Censo de Población y Vivienda 2020.</w:t>
      </w:r>
      <w:r w:rsidRPr="00DF0B57">
        <w:rPr>
          <w:rFonts w:ascii="Times New Roman" w:eastAsia="Times New Roman" w:hAnsi="Times New Roman" w:cs="Times New Roman"/>
          <w:sz w:val="24"/>
          <w:szCs w:val="24"/>
        </w:rPr>
        <w:t xml:space="preserve"> http://www.cuentame.inegi.org.mx/monografias/informacion/qroo/territorio/div_municipal.aspx?tema=me&amp;e=23</w:t>
      </w:r>
    </w:p>
    <w:p w14:paraId="3EE4BE17" w14:textId="77777777" w:rsidR="009E0FFC" w:rsidRPr="00DF0B57" w:rsidRDefault="006B1808" w:rsidP="00B16FD8">
      <w:pPr>
        <w:widowControl w:val="0"/>
        <w:numPr>
          <w:ilvl w:val="0"/>
          <w:numId w:val="1"/>
        </w:numPr>
        <w:pBdr>
          <w:top w:val="nil"/>
          <w:left w:val="nil"/>
          <w:bottom w:val="nil"/>
          <w:right w:val="nil"/>
          <w:between w:val="nil"/>
        </w:pBdr>
        <w:spacing w:before="99" w:after="0" w:line="36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u w:val="single"/>
        </w:rPr>
        <w:t xml:space="preserve">INEGI, (2016). Panorama Sociodemográfico de Quintana Roo 2015. ISBN 978-607-739-892-9. </w:t>
      </w:r>
      <w:hyperlink r:id="rId29">
        <w:r w:rsidRPr="00DF0B57">
          <w:rPr>
            <w:rFonts w:ascii="Times New Roman" w:eastAsia="Times New Roman" w:hAnsi="Times New Roman" w:cs="Times New Roman"/>
            <w:sz w:val="24"/>
            <w:szCs w:val="24"/>
            <w:u w:val="single"/>
          </w:rPr>
          <w:t>http://coespo.qroo.gob.mx/Descargas/doc/PUBLICACCIONES%20DE%20INTERES/PANORAMA%20SOCIODEMOGRAFICO%20DE%20QUINTANA%20ROO%202015.pdf</w:t>
        </w:r>
      </w:hyperlink>
    </w:p>
    <w:p w14:paraId="685D5963" w14:textId="77777777" w:rsidR="009E0FFC" w:rsidRPr="00DF0B57" w:rsidRDefault="006B1808" w:rsidP="00B16FD8">
      <w:pPr>
        <w:numPr>
          <w:ilvl w:val="0"/>
          <w:numId w:val="1"/>
        </w:numPr>
        <w:pBdr>
          <w:top w:val="nil"/>
          <w:left w:val="nil"/>
          <w:bottom w:val="nil"/>
          <w:right w:val="nil"/>
          <w:between w:val="nil"/>
        </w:pBdr>
        <w:spacing w:after="0" w:line="360" w:lineRule="auto"/>
        <w:ind w:firstLine="0"/>
        <w:jc w:val="both"/>
        <w:rPr>
          <w:rFonts w:ascii="Times New Roman" w:eastAsia="Times New Roman" w:hAnsi="Times New Roman" w:cs="Times New Roman"/>
          <w:sz w:val="24"/>
          <w:szCs w:val="24"/>
          <w:u w:val="single"/>
        </w:rPr>
      </w:pPr>
      <w:r w:rsidRPr="00DF0B57">
        <w:rPr>
          <w:rFonts w:ascii="Times New Roman" w:eastAsia="Times New Roman" w:hAnsi="Times New Roman" w:cs="Times New Roman"/>
          <w:sz w:val="24"/>
          <w:szCs w:val="24"/>
          <w:u w:val="single"/>
        </w:rPr>
        <w:lastRenderedPageBreak/>
        <w:t xml:space="preserve">Instituto Mexicano del Seguro Social- IMSS (2020), “Datos y recursos” en el </w:t>
      </w:r>
      <w:r w:rsidRPr="00DF0B57">
        <w:rPr>
          <w:rFonts w:ascii="Times New Roman" w:eastAsia="Times New Roman" w:hAnsi="Times New Roman" w:cs="Times New Roman"/>
          <w:i/>
          <w:sz w:val="24"/>
          <w:szCs w:val="24"/>
          <w:u w:val="single"/>
        </w:rPr>
        <w:t>Portal del IMSS,</w:t>
      </w:r>
      <w:r w:rsidRPr="00DF0B57">
        <w:rPr>
          <w:rFonts w:ascii="Times New Roman" w:eastAsia="Times New Roman" w:hAnsi="Times New Roman" w:cs="Times New Roman"/>
          <w:sz w:val="24"/>
          <w:szCs w:val="24"/>
          <w:u w:val="single"/>
        </w:rPr>
        <w:t xml:space="preserve"> consultado en: </w:t>
      </w:r>
      <w:hyperlink r:id="rId30">
        <w:r w:rsidRPr="00DF0B57">
          <w:rPr>
            <w:rFonts w:ascii="Times New Roman" w:eastAsia="Times New Roman" w:hAnsi="Times New Roman" w:cs="Times New Roman"/>
            <w:sz w:val="24"/>
            <w:szCs w:val="24"/>
            <w:u w:val="single"/>
          </w:rPr>
          <w:t>http://datos.imss.gob.mx/dataset/asg-2020</w:t>
        </w:r>
      </w:hyperlink>
    </w:p>
    <w:p w14:paraId="603B0D6B" w14:textId="77777777" w:rsidR="009E0FFC" w:rsidRPr="00DF0B57" w:rsidRDefault="006B1808" w:rsidP="00B16FD8">
      <w:pPr>
        <w:pBdr>
          <w:top w:val="nil"/>
          <w:left w:val="nil"/>
          <w:bottom w:val="nil"/>
          <w:right w:val="nil"/>
          <w:between w:val="nil"/>
        </w:pBdr>
        <w:spacing w:after="0" w:line="360" w:lineRule="auto"/>
        <w:ind w:left="720"/>
        <w:jc w:val="both"/>
        <w:rPr>
          <w:rFonts w:ascii="Times New Roman" w:eastAsia="Times New Roman" w:hAnsi="Times New Roman" w:cs="Times New Roman"/>
          <w:sz w:val="24"/>
          <w:szCs w:val="24"/>
          <w:u w:val="single"/>
        </w:rPr>
      </w:pPr>
      <w:r w:rsidRPr="00DF0B57">
        <w:rPr>
          <w:rFonts w:ascii="Times New Roman" w:eastAsia="Times New Roman" w:hAnsi="Times New Roman" w:cs="Times New Roman"/>
          <w:sz w:val="24"/>
          <w:szCs w:val="24"/>
        </w:rPr>
        <w:t xml:space="preserve">Madrid, F. y Díaz, J. A., (2020). Coronavirus y turismo. </w:t>
      </w:r>
      <w:hyperlink r:id="rId31">
        <w:r w:rsidRPr="00DF0B57">
          <w:rPr>
            <w:rFonts w:ascii="Times New Roman" w:eastAsia="Times New Roman" w:hAnsi="Times New Roman" w:cs="Times New Roman"/>
            <w:sz w:val="24"/>
            <w:szCs w:val="24"/>
            <w:u w:val="single"/>
          </w:rPr>
          <w:t>http://aebba.org/wp-content/uploads/2020/03/Coronavirus_Turismo_CICOTUR.pdf</w:t>
        </w:r>
      </w:hyperlink>
    </w:p>
    <w:p w14:paraId="547EB5A2" w14:textId="77777777" w:rsidR="009E0FFC" w:rsidRPr="00DF0B57" w:rsidRDefault="009E0FFC" w:rsidP="00B16FD8">
      <w:pPr>
        <w:pBdr>
          <w:top w:val="nil"/>
          <w:left w:val="nil"/>
          <w:bottom w:val="nil"/>
          <w:right w:val="nil"/>
          <w:between w:val="nil"/>
        </w:pBdr>
        <w:spacing w:after="0" w:line="360" w:lineRule="auto"/>
        <w:ind w:left="720"/>
        <w:jc w:val="both"/>
        <w:rPr>
          <w:rFonts w:ascii="Times New Roman" w:eastAsia="Times New Roman" w:hAnsi="Times New Roman" w:cs="Times New Roman"/>
          <w:sz w:val="24"/>
          <w:szCs w:val="24"/>
        </w:rPr>
      </w:pPr>
    </w:p>
    <w:p w14:paraId="1C0AFA0B" w14:textId="77777777" w:rsidR="009E0FFC" w:rsidRPr="00DF0B57" w:rsidRDefault="006B1808" w:rsidP="00B16FD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u w:val="single"/>
        </w:rPr>
      </w:pPr>
      <w:r w:rsidRPr="00DF0B57">
        <w:rPr>
          <w:rFonts w:ascii="Times New Roman" w:eastAsia="Times New Roman" w:hAnsi="Times New Roman" w:cs="Times New Roman"/>
          <w:sz w:val="24"/>
          <w:szCs w:val="24"/>
        </w:rPr>
        <w:t xml:space="preserve">Maldonado, I., (06 de mayo de 2020). Afectaciones económicas en sector hotelero. </w:t>
      </w:r>
      <w:r w:rsidRPr="00DF0B57">
        <w:rPr>
          <w:rFonts w:ascii="Times New Roman" w:eastAsia="Times New Roman" w:hAnsi="Times New Roman" w:cs="Times New Roman"/>
          <w:i/>
          <w:sz w:val="24"/>
          <w:szCs w:val="24"/>
        </w:rPr>
        <w:t xml:space="preserve">Canal 10. </w:t>
      </w:r>
      <w:hyperlink r:id="rId32">
        <w:r w:rsidRPr="00DF0B57">
          <w:rPr>
            <w:rFonts w:ascii="Times New Roman" w:eastAsia="Times New Roman" w:hAnsi="Times New Roman" w:cs="Times New Roman"/>
            <w:sz w:val="24"/>
            <w:szCs w:val="24"/>
            <w:u w:val="single"/>
          </w:rPr>
          <w:t>https://noticias.canal10.tv/nota/municipios/afectaciones-economicas-en-sector-hotelero-2020-05-06</w:t>
        </w:r>
      </w:hyperlink>
    </w:p>
    <w:p w14:paraId="6C274AF0" w14:textId="77777777" w:rsidR="009E0FFC" w:rsidRPr="00DF0B57" w:rsidRDefault="006B1808" w:rsidP="00B16FD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u w:val="single"/>
        </w:rPr>
      </w:pPr>
      <w:r w:rsidRPr="00DF0B57">
        <w:rPr>
          <w:rFonts w:ascii="Times New Roman" w:eastAsia="Times New Roman" w:hAnsi="Times New Roman" w:cs="Times New Roman"/>
          <w:sz w:val="24"/>
          <w:szCs w:val="24"/>
        </w:rPr>
        <w:t>Mendoza, M., Monterrubio J. y Fernández, M., (2011). “Impactos sociales del turismo en el Centro Integralmente Planeado (CIP) Bahías de Huatulco, México”. Gestión Turística, 15, enero-junio, 47-73.</w:t>
      </w:r>
    </w:p>
    <w:p w14:paraId="3A72DC50" w14:textId="77777777" w:rsidR="009E0FFC" w:rsidRPr="00DF0B57" w:rsidRDefault="006B1808" w:rsidP="00B16FD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u w:val="single"/>
        </w:rPr>
      </w:pPr>
      <w:r w:rsidRPr="00DF0B57">
        <w:rPr>
          <w:rFonts w:ascii="Times New Roman" w:eastAsia="Times New Roman" w:hAnsi="Times New Roman" w:cs="Times New Roman"/>
          <w:sz w:val="24"/>
          <w:szCs w:val="24"/>
        </w:rPr>
        <w:t xml:space="preserve">Mundo Marítimo ( 09 de Noviembre de 2020), “México presenta caída del 66,6% en arribo de cruceros entre enero y septiembre recuperado” en: </w:t>
      </w:r>
      <w:hyperlink r:id="rId33">
        <w:r w:rsidRPr="00DF0B57">
          <w:rPr>
            <w:rFonts w:ascii="Times New Roman" w:eastAsia="Times New Roman" w:hAnsi="Times New Roman" w:cs="Times New Roman"/>
            <w:sz w:val="24"/>
            <w:szCs w:val="24"/>
            <w:u w:val="single"/>
          </w:rPr>
          <w:t>https://mundomaritimo.cl/noticias/mexico-presenta-caida-del-666-en-arribo-de-cruceros-entre-enero-y-septiembre</w:t>
        </w:r>
      </w:hyperlink>
    </w:p>
    <w:p w14:paraId="637ABE1B" w14:textId="77777777" w:rsidR="009E0FFC" w:rsidRPr="00DF0B57" w:rsidRDefault="006B1808" w:rsidP="00B16FD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u w:val="single"/>
        </w:rPr>
      </w:pPr>
      <w:proofErr w:type="spellStart"/>
      <w:r w:rsidRPr="00DF0B57">
        <w:rPr>
          <w:rFonts w:ascii="Times New Roman" w:eastAsia="Times New Roman" w:hAnsi="Times New Roman" w:cs="Times New Roman"/>
          <w:sz w:val="24"/>
          <w:szCs w:val="24"/>
        </w:rPr>
        <w:t>Nodar</w:t>
      </w:r>
      <w:proofErr w:type="spellEnd"/>
      <w:r w:rsidRPr="00DF0B57">
        <w:rPr>
          <w:rFonts w:ascii="Times New Roman" w:eastAsia="Times New Roman" w:hAnsi="Times New Roman" w:cs="Times New Roman"/>
          <w:sz w:val="24"/>
          <w:szCs w:val="24"/>
        </w:rPr>
        <w:t>, J. M. F. (2020). Covid-19 y su impacto en el turismo en Oaxaca (México). Desarrollo, economía y sociedad, 9(1), 29-35.</w:t>
      </w:r>
    </w:p>
    <w:p w14:paraId="76DBF1DD" w14:textId="77777777" w:rsidR="009E0FFC" w:rsidRPr="00DF0B57" w:rsidRDefault="006B1808" w:rsidP="00B16FD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u w:val="single"/>
        </w:rPr>
      </w:pPr>
      <w:proofErr w:type="spellStart"/>
      <w:r w:rsidRPr="00DF0B57">
        <w:rPr>
          <w:rFonts w:ascii="Times New Roman" w:eastAsia="Times New Roman" w:hAnsi="Times New Roman" w:cs="Times New Roman"/>
          <w:sz w:val="24"/>
          <w:szCs w:val="24"/>
        </w:rPr>
        <w:t>Oehmichen</w:t>
      </w:r>
      <w:proofErr w:type="spellEnd"/>
      <w:r w:rsidRPr="00DF0B57">
        <w:rPr>
          <w:rFonts w:ascii="Times New Roman" w:eastAsia="Times New Roman" w:hAnsi="Times New Roman" w:cs="Times New Roman"/>
          <w:sz w:val="24"/>
          <w:szCs w:val="24"/>
        </w:rPr>
        <w:t>-Bazán, C., &amp; Pombo, M. D. P. (2010). El miedo ante el riesgo global: apuntes sobre la emergencia del virus A/H1N1 y el turismo. Revista Nuevas Tendencias en Antropología, 1, 161-185.</w:t>
      </w:r>
    </w:p>
    <w:p w14:paraId="6EDAA63D" w14:textId="77777777" w:rsidR="009E0FFC" w:rsidRPr="00DF0B57" w:rsidRDefault="006B1808" w:rsidP="00B16FD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u w:val="single"/>
        </w:rPr>
      </w:pPr>
      <w:r w:rsidRPr="00DF0B57">
        <w:rPr>
          <w:rFonts w:ascii="Times New Roman" w:eastAsia="Times New Roman" w:hAnsi="Times New Roman" w:cs="Times New Roman"/>
          <w:sz w:val="24"/>
          <w:szCs w:val="24"/>
        </w:rPr>
        <w:t xml:space="preserve">ONU, (2020). El turismo está en cuarentena por el coronavirus: el 100% de los países ha impuesto restricciones a los viajes. </w:t>
      </w:r>
      <w:hyperlink r:id="rId34">
        <w:r w:rsidRPr="00DF0B57">
          <w:rPr>
            <w:rFonts w:ascii="Times New Roman" w:eastAsia="Times New Roman" w:hAnsi="Times New Roman" w:cs="Times New Roman"/>
            <w:sz w:val="24"/>
            <w:szCs w:val="24"/>
            <w:u w:val="single"/>
          </w:rPr>
          <w:t>https://news.un.org/es/story/2020/05/1474102</w:t>
        </w:r>
      </w:hyperlink>
    </w:p>
    <w:p w14:paraId="55287535" w14:textId="77777777" w:rsidR="009E0FFC" w:rsidRPr="00DF0B57" w:rsidRDefault="006B1808" w:rsidP="00B16FD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u w:val="single"/>
        </w:rPr>
      </w:pPr>
      <w:r w:rsidRPr="00DF0B57">
        <w:rPr>
          <w:rFonts w:ascii="Times New Roman" w:eastAsia="Times New Roman" w:hAnsi="Times New Roman" w:cs="Times New Roman"/>
          <w:sz w:val="24"/>
          <w:szCs w:val="24"/>
        </w:rPr>
        <w:t xml:space="preserve">OPS (Organización Panamericana de la Salud), (2020). La OMS caracteriza a COVID-19 como una pandemia. </w:t>
      </w:r>
      <w:hyperlink r:id="rId35">
        <w:r w:rsidRPr="00DF0B57">
          <w:rPr>
            <w:rFonts w:ascii="Times New Roman" w:eastAsia="Times New Roman" w:hAnsi="Times New Roman" w:cs="Times New Roman"/>
            <w:sz w:val="24"/>
            <w:szCs w:val="24"/>
            <w:u w:val="single"/>
          </w:rPr>
          <w:t>https://www.paho.org/hq/index.php?option=com_content&amp;view=article&amp;id=15756:who-characterizes-covid-19-as-a-pandemic&amp;Itemid=1926&amp;lang=es</w:t>
        </w:r>
      </w:hyperlink>
    </w:p>
    <w:p w14:paraId="0C25669F" w14:textId="77777777" w:rsidR="009E0FFC" w:rsidRPr="00DF0B57" w:rsidRDefault="006B1808" w:rsidP="00B16FD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u w:val="single"/>
        </w:rPr>
      </w:pPr>
      <w:r w:rsidRPr="00DF0B57">
        <w:rPr>
          <w:rFonts w:ascii="Times New Roman" w:eastAsia="Times New Roman" w:hAnsi="Times New Roman" w:cs="Times New Roman"/>
          <w:sz w:val="24"/>
          <w:szCs w:val="24"/>
          <w:u w:val="single"/>
        </w:rPr>
        <w:t xml:space="preserve">Palafox-Muñoz, A. y Rubí-González, F. A. (2020). La gota que derramó el vaso en el turismo en Quintana </w:t>
      </w:r>
      <w:proofErr w:type="gramStart"/>
      <w:r w:rsidRPr="00DF0B57">
        <w:rPr>
          <w:rFonts w:ascii="Times New Roman" w:eastAsia="Times New Roman" w:hAnsi="Times New Roman" w:cs="Times New Roman"/>
          <w:sz w:val="24"/>
          <w:szCs w:val="24"/>
          <w:u w:val="single"/>
        </w:rPr>
        <w:t>Roo,  México</w:t>
      </w:r>
      <w:proofErr w:type="gramEnd"/>
      <w:r w:rsidRPr="00DF0B57">
        <w:rPr>
          <w:rFonts w:ascii="Times New Roman" w:eastAsia="Times New Roman" w:hAnsi="Times New Roman" w:cs="Times New Roman"/>
          <w:sz w:val="24"/>
          <w:szCs w:val="24"/>
          <w:u w:val="single"/>
        </w:rPr>
        <w:t xml:space="preserve">:  precariedad  laboral  y  COVID-19.    Dimensiones Turísticas [Número especial: Turismo y COVID-19], </w:t>
      </w:r>
      <w:proofErr w:type="gramStart"/>
      <w:r w:rsidRPr="00DF0B57">
        <w:rPr>
          <w:rFonts w:ascii="Times New Roman" w:eastAsia="Times New Roman" w:hAnsi="Times New Roman" w:cs="Times New Roman"/>
          <w:sz w:val="24"/>
          <w:szCs w:val="24"/>
          <w:u w:val="single"/>
        </w:rPr>
        <w:t>4,  131</w:t>
      </w:r>
      <w:proofErr w:type="gramEnd"/>
      <w:r w:rsidRPr="00DF0B57">
        <w:rPr>
          <w:rFonts w:ascii="Times New Roman" w:eastAsia="Times New Roman" w:hAnsi="Times New Roman" w:cs="Times New Roman"/>
          <w:sz w:val="24"/>
          <w:szCs w:val="24"/>
          <w:u w:val="single"/>
        </w:rPr>
        <w:t>-148.  https://doi.org/10.47557/IMGO5677</w:t>
      </w:r>
    </w:p>
    <w:p w14:paraId="11DE989D" w14:textId="77777777" w:rsidR="009E0FFC" w:rsidRPr="00DF0B57" w:rsidRDefault="006B1808" w:rsidP="00B16FD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u w:val="single"/>
        </w:rPr>
      </w:pPr>
      <w:r w:rsidRPr="00DF0B57">
        <w:rPr>
          <w:rFonts w:ascii="Times New Roman" w:eastAsia="Times New Roman" w:hAnsi="Times New Roman" w:cs="Times New Roman"/>
          <w:sz w:val="24"/>
          <w:szCs w:val="24"/>
        </w:rPr>
        <w:t xml:space="preserve">Palomo, G., Jurado, E., Medina, A., &amp; Bernier, E. (2020). Turismo </w:t>
      </w:r>
      <w:proofErr w:type="spellStart"/>
      <w:r w:rsidRPr="00DF0B57">
        <w:rPr>
          <w:rFonts w:ascii="Times New Roman" w:eastAsia="Times New Roman" w:hAnsi="Times New Roman" w:cs="Times New Roman"/>
          <w:sz w:val="24"/>
          <w:szCs w:val="24"/>
        </w:rPr>
        <w:t>poscoronavirus</w:t>
      </w:r>
      <w:proofErr w:type="spellEnd"/>
      <w:r w:rsidRPr="00DF0B57">
        <w:rPr>
          <w:rFonts w:ascii="Times New Roman" w:eastAsia="Times New Roman" w:hAnsi="Times New Roman" w:cs="Times New Roman"/>
          <w:sz w:val="24"/>
          <w:szCs w:val="24"/>
        </w:rPr>
        <w:t xml:space="preserve">, ¿una oportunidad para el </w:t>
      </w:r>
      <w:proofErr w:type="spellStart"/>
      <w:r w:rsidRPr="00DF0B57">
        <w:rPr>
          <w:rFonts w:ascii="Times New Roman" w:eastAsia="Times New Roman" w:hAnsi="Times New Roman" w:cs="Times New Roman"/>
          <w:sz w:val="24"/>
          <w:szCs w:val="24"/>
        </w:rPr>
        <w:t>poscrecimiento</w:t>
      </w:r>
      <w:proofErr w:type="spellEnd"/>
      <w:r w:rsidRPr="00DF0B57">
        <w:rPr>
          <w:rFonts w:ascii="Times New Roman" w:eastAsia="Times New Roman" w:hAnsi="Times New Roman" w:cs="Times New Roman"/>
          <w:sz w:val="24"/>
          <w:szCs w:val="24"/>
        </w:rPr>
        <w:t xml:space="preserve">? </w:t>
      </w:r>
      <w:r w:rsidRPr="00DF0B57">
        <w:rPr>
          <w:rFonts w:ascii="Times New Roman" w:eastAsia="Times New Roman" w:hAnsi="Times New Roman" w:cs="Times New Roman"/>
          <w:i/>
          <w:sz w:val="24"/>
          <w:szCs w:val="24"/>
        </w:rPr>
        <w:t xml:space="preserve">Cátedra de Turismo </w:t>
      </w:r>
      <w:proofErr w:type="spellStart"/>
      <w:r w:rsidRPr="00DF0B57">
        <w:rPr>
          <w:rFonts w:ascii="Times New Roman" w:eastAsia="Times New Roman" w:hAnsi="Times New Roman" w:cs="Times New Roman"/>
          <w:i/>
          <w:sz w:val="24"/>
          <w:szCs w:val="24"/>
        </w:rPr>
        <w:t>CajaCanarias-Ashotel</w:t>
      </w:r>
      <w:proofErr w:type="spellEnd"/>
      <w:r w:rsidRPr="00DF0B57">
        <w:rPr>
          <w:rFonts w:ascii="Times New Roman" w:eastAsia="Times New Roman" w:hAnsi="Times New Roman" w:cs="Times New Roman"/>
          <w:i/>
          <w:sz w:val="24"/>
          <w:szCs w:val="24"/>
        </w:rPr>
        <w:t>. Universidad de La Laguna</w:t>
      </w:r>
      <w:r w:rsidRPr="00DF0B57">
        <w:rPr>
          <w:rFonts w:ascii="Times New Roman" w:eastAsia="Times New Roman" w:hAnsi="Times New Roman" w:cs="Times New Roman"/>
          <w:sz w:val="24"/>
          <w:szCs w:val="24"/>
        </w:rPr>
        <w:t xml:space="preserve">, 161–173. </w:t>
      </w:r>
      <w:hyperlink r:id="rId36">
        <w:r w:rsidRPr="00DF0B57">
          <w:rPr>
            <w:rFonts w:ascii="Times New Roman" w:eastAsia="Times New Roman" w:hAnsi="Times New Roman" w:cs="Times New Roman"/>
            <w:sz w:val="24"/>
            <w:szCs w:val="24"/>
            <w:u w:val="single"/>
          </w:rPr>
          <w:t>https://www.researchgate.net/publication/343080239</w:t>
        </w:r>
      </w:hyperlink>
    </w:p>
    <w:p w14:paraId="23917104" w14:textId="77777777" w:rsidR="009E0FFC" w:rsidRPr="00DF0B57" w:rsidRDefault="006B1808" w:rsidP="00B16FD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u w:val="single"/>
        </w:rPr>
      </w:pPr>
      <w:r w:rsidRPr="00DF0B57">
        <w:rPr>
          <w:rFonts w:ascii="Times New Roman" w:eastAsia="Times New Roman" w:hAnsi="Times New Roman" w:cs="Times New Roman"/>
          <w:sz w:val="24"/>
          <w:szCs w:val="24"/>
        </w:rPr>
        <w:lastRenderedPageBreak/>
        <w:t xml:space="preserve">Páez, M. A. P. (2020). El impacto de la COVID-19 en el turismo: Apuntes para su esbozo. </w:t>
      </w:r>
      <w:r w:rsidRPr="00DF0B57">
        <w:rPr>
          <w:rFonts w:ascii="Times New Roman" w:eastAsia="Times New Roman" w:hAnsi="Times New Roman" w:cs="Times New Roman"/>
          <w:i/>
          <w:sz w:val="24"/>
          <w:szCs w:val="24"/>
        </w:rPr>
        <w:t>Observador del Conocimiento</w:t>
      </w:r>
      <w:r w:rsidRPr="00DF0B57">
        <w:rPr>
          <w:rFonts w:ascii="Times New Roman" w:eastAsia="Times New Roman" w:hAnsi="Times New Roman" w:cs="Times New Roman"/>
          <w:sz w:val="24"/>
          <w:szCs w:val="24"/>
        </w:rPr>
        <w:t>, 5(3 septiembre), 93-101.</w:t>
      </w:r>
    </w:p>
    <w:p w14:paraId="1DA95FDA" w14:textId="77777777" w:rsidR="009E0FFC" w:rsidRPr="00DF0B57" w:rsidRDefault="006B1808" w:rsidP="00B16FD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u w:val="single"/>
        </w:rPr>
      </w:pPr>
      <w:proofErr w:type="spellStart"/>
      <w:r w:rsidRPr="00DF0B57">
        <w:rPr>
          <w:rFonts w:ascii="Times New Roman" w:eastAsia="Times New Roman" w:hAnsi="Times New Roman" w:cs="Times New Roman"/>
          <w:sz w:val="24"/>
          <w:szCs w:val="24"/>
        </w:rPr>
        <w:t>PalcoNoticias</w:t>
      </w:r>
      <w:proofErr w:type="spellEnd"/>
      <w:r w:rsidRPr="00DF0B57">
        <w:rPr>
          <w:rFonts w:ascii="Times New Roman" w:eastAsia="Times New Roman" w:hAnsi="Times New Roman" w:cs="Times New Roman"/>
          <w:sz w:val="24"/>
          <w:szCs w:val="24"/>
        </w:rPr>
        <w:t xml:space="preserve">, (28 de abril de 2020). En riesgo de quiebra el 80% de las empresas afiliadas a la #Coparmex en #Cozumel. </w:t>
      </w:r>
      <w:hyperlink r:id="rId37">
        <w:r w:rsidRPr="00DF0B57">
          <w:rPr>
            <w:rFonts w:ascii="Times New Roman" w:eastAsia="Times New Roman" w:hAnsi="Times New Roman" w:cs="Times New Roman"/>
            <w:sz w:val="24"/>
            <w:szCs w:val="24"/>
            <w:u w:val="single"/>
          </w:rPr>
          <w:t>https://www.palcoquintanarroense.com.mx/noticias-de-quintana-roo/en-riesgo-de-quiebra-el-80-de-las-empresas-afiliadas-a-la-coparmex-en-cozumel/</w:t>
        </w:r>
      </w:hyperlink>
    </w:p>
    <w:p w14:paraId="05CEE6EB" w14:textId="77777777" w:rsidR="009E0FFC" w:rsidRPr="00DF0B57" w:rsidRDefault="006B1808" w:rsidP="00B16FD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u w:val="single"/>
        </w:rPr>
      </w:pPr>
      <w:r w:rsidRPr="00DF0B57">
        <w:rPr>
          <w:rFonts w:ascii="Times New Roman" w:eastAsia="Times New Roman" w:hAnsi="Times New Roman" w:cs="Times New Roman"/>
          <w:sz w:val="24"/>
          <w:szCs w:val="24"/>
          <w:lang w:val="pt-PT"/>
        </w:rPr>
        <w:t xml:space="preserve">Palco Noticias, (29 de abril de 2020). </w:t>
      </w:r>
      <w:r w:rsidRPr="00DF0B57">
        <w:rPr>
          <w:rFonts w:ascii="Times New Roman" w:eastAsia="Times New Roman" w:hAnsi="Times New Roman" w:cs="Times New Roman"/>
          <w:sz w:val="24"/>
          <w:szCs w:val="24"/>
        </w:rPr>
        <w:t xml:space="preserve">Se reconvierten restaurantes ofreciendo solo servicio a domicilio para salvar negocios y planta laboral en #Cozumel. </w:t>
      </w:r>
      <w:hyperlink r:id="rId38">
        <w:r w:rsidRPr="00DF0B57">
          <w:rPr>
            <w:rFonts w:ascii="Times New Roman" w:eastAsia="Times New Roman" w:hAnsi="Times New Roman" w:cs="Times New Roman"/>
            <w:sz w:val="24"/>
            <w:szCs w:val="24"/>
            <w:u w:val="single"/>
          </w:rPr>
          <w:t>https://www.palcoquintanarroense.com.mx/noticias-de-quintana-roo/se-reconvierten-restaurantes-ofreciendo-solo-servicio-a-domicilio-para-salvar-negocios-y-planta-laboral-en-cozumel/</w:t>
        </w:r>
      </w:hyperlink>
    </w:p>
    <w:p w14:paraId="6D7D8C1A" w14:textId="77777777" w:rsidR="009E0FFC" w:rsidRPr="00DF0B57" w:rsidRDefault="006B1808" w:rsidP="00B16FD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u w:val="single"/>
        </w:rPr>
      </w:pPr>
      <w:proofErr w:type="spellStart"/>
      <w:r w:rsidRPr="00DF0B57">
        <w:rPr>
          <w:rFonts w:ascii="Times New Roman" w:eastAsia="Times New Roman" w:hAnsi="Times New Roman" w:cs="Times New Roman"/>
          <w:sz w:val="24"/>
          <w:szCs w:val="24"/>
          <w:u w:val="single"/>
        </w:rPr>
        <w:t>Pwc</w:t>
      </w:r>
      <w:proofErr w:type="spellEnd"/>
      <w:r w:rsidRPr="00DF0B57">
        <w:rPr>
          <w:rFonts w:ascii="Times New Roman" w:eastAsia="Times New Roman" w:hAnsi="Times New Roman" w:cs="Times New Roman"/>
          <w:sz w:val="24"/>
          <w:szCs w:val="24"/>
          <w:u w:val="single"/>
        </w:rPr>
        <w:t xml:space="preserve">-PricewaterhouseCoopers S.L (2012). Estudios de Impacto Económico. Cómo valorar la repercusión y el retorno de iniciativas e inversiones públicas. </w:t>
      </w:r>
      <w:hyperlink r:id="rId39">
        <w:r w:rsidRPr="00DF0B57">
          <w:rPr>
            <w:rFonts w:ascii="Times New Roman" w:eastAsia="Times New Roman" w:hAnsi="Times New Roman" w:cs="Times New Roman"/>
            <w:sz w:val="24"/>
            <w:szCs w:val="24"/>
            <w:u w:val="single"/>
          </w:rPr>
          <w:t>https://www.pwc.es/es/sector-publico/assets/brochure-estudios-impacto-economico.pdf</w:t>
        </w:r>
      </w:hyperlink>
    </w:p>
    <w:p w14:paraId="0474AD45" w14:textId="77777777" w:rsidR="009E0FFC" w:rsidRPr="00DF0B57" w:rsidRDefault="006B1808" w:rsidP="00B16FD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u w:val="single"/>
        </w:rPr>
      </w:pPr>
      <w:r w:rsidRPr="00DF0B57">
        <w:rPr>
          <w:rFonts w:ascii="Times New Roman" w:eastAsia="Times New Roman" w:hAnsi="Times New Roman" w:cs="Times New Roman"/>
          <w:sz w:val="24"/>
          <w:szCs w:val="24"/>
          <w:u w:val="single"/>
          <w:lang w:val="pt-PT"/>
        </w:rPr>
        <w:t xml:space="preserve">Paixão, W. B. D., Cordeiro, I. J. D., &amp; Leite, N. K. (2021). Efeitos da pandemia do COVID-19 sobre o turismo em Fernando de Noronha ao longo do primeiro semestre de 2020. </w:t>
      </w:r>
      <w:r w:rsidRPr="00DF0B57">
        <w:rPr>
          <w:rFonts w:ascii="Times New Roman" w:eastAsia="Times New Roman" w:hAnsi="Times New Roman" w:cs="Times New Roman"/>
          <w:sz w:val="24"/>
          <w:szCs w:val="24"/>
          <w:u w:val="single"/>
        </w:rPr>
        <w:t>Revista Brasileira de Pesquisa em Turismo, 15(1).</w:t>
      </w:r>
    </w:p>
    <w:p w14:paraId="0B27F23B" w14:textId="61734AAE" w:rsidR="009E0FFC" w:rsidRDefault="006B1808" w:rsidP="00B16FD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u w:val="single"/>
        </w:rPr>
      </w:pPr>
      <w:r w:rsidRPr="00DF0B57">
        <w:rPr>
          <w:rFonts w:ascii="Times New Roman" w:eastAsia="Times New Roman" w:hAnsi="Times New Roman" w:cs="Times New Roman"/>
          <w:sz w:val="24"/>
          <w:szCs w:val="24"/>
          <w:u w:val="single"/>
        </w:rPr>
        <w:t xml:space="preserve">Redacción, (08 de abril de 2020). Quiénes y en dónde han perdido su empleo en México por el Covid-19. </w:t>
      </w:r>
      <w:r w:rsidRPr="00DF0B57">
        <w:rPr>
          <w:rFonts w:ascii="Times New Roman" w:eastAsia="Times New Roman" w:hAnsi="Times New Roman" w:cs="Times New Roman"/>
          <w:i/>
          <w:sz w:val="24"/>
          <w:szCs w:val="24"/>
          <w:u w:val="single"/>
        </w:rPr>
        <w:t xml:space="preserve">El Universal. </w:t>
      </w:r>
      <w:hyperlink r:id="rId40">
        <w:r w:rsidRPr="00DF0B57">
          <w:rPr>
            <w:rFonts w:ascii="Times New Roman" w:eastAsia="Times New Roman" w:hAnsi="Times New Roman" w:cs="Times New Roman"/>
            <w:sz w:val="24"/>
            <w:szCs w:val="24"/>
            <w:u w:val="single"/>
          </w:rPr>
          <w:t>https://www.eluniversal.com.mx/nacion/coronavirus-en-mexico-quienes-y-en-donde-han-perdido-su-empleo</w:t>
        </w:r>
      </w:hyperlink>
    </w:p>
    <w:p w14:paraId="1F04EA57" w14:textId="3524945E" w:rsidR="00A93C9A" w:rsidRPr="007D2CB1" w:rsidRDefault="00A93C9A" w:rsidP="00A93C9A">
      <w:pPr>
        <w:pStyle w:val="Textoindependiente"/>
        <w:widowControl/>
        <w:numPr>
          <w:ilvl w:val="0"/>
          <w:numId w:val="1"/>
        </w:numPr>
        <w:autoSpaceDE/>
        <w:autoSpaceDN/>
        <w:jc w:val="both"/>
        <w:outlineLvl w:val="1"/>
        <w:rPr>
          <w:rFonts w:ascii="Times New Roman" w:hAnsi="Times New Roman" w:cs="Times New Roman"/>
          <w:bCs/>
          <w:sz w:val="24"/>
          <w:szCs w:val="24"/>
          <w:lang w:val="en-US" w:eastAsia="es-MX"/>
        </w:rPr>
      </w:pPr>
      <w:proofErr w:type="spellStart"/>
      <w:r w:rsidRPr="007D2CB1">
        <w:rPr>
          <w:rFonts w:ascii="Times New Roman" w:hAnsi="Times New Roman" w:cs="Times New Roman"/>
          <w:bCs/>
          <w:sz w:val="24"/>
          <w:szCs w:val="24"/>
          <w:lang w:val="es-MX"/>
        </w:rPr>
        <w:t>Segrado</w:t>
      </w:r>
      <w:proofErr w:type="spellEnd"/>
      <w:r w:rsidRPr="007D2CB1">
        <w:rPr>
          <w:rFonts w:ascii="Times New Roman" w:hAnsi="Times New Roman" w:cs="Times New Roman"/>
          <w:bCs/>
          <w:sz w:val="24"/>
          <w:szCs w:val="24"/>
          <w:lang w:val="es-MX"/>
        </w:rPr>
        <w:t xml:space="preserve">, R., Serrano, R., Arroyo, L., Amador, </w:t>
      </w:r>
      <w:proofErr w:type="gramStart"/>
      <w:r w:rsidRPr="007D2CB1">
        <w:rPr>
          <w:rFonts w:ascii="Times New Roman" w:hAnsi="Times New Roman" w:cs="Times New Roman"/>
          <w:bCs/>
          <w:sz w:val="24"/>
          <w:szCs w:val="24"/>
          <w:lang w:val="es-MX"/>
        </w:rPr>
        <w:t>K,  Palma</w:t>
      </w:r>
      <w:proofErr w:type="gramEnd"/>
      <w:r w:rsidRPr="007D2CB1">
        <w:rPr>
          <w:rFonts w:ascii="Times New Roman" w:hAnsi="Times New Roman" w:cs="Times New Roman"/>
          <w:bCs/>
          <w:sz w:val="24"/>
          <w:szCs w:val="24"/>
          <w:lang w:val="es-MX"/>
        </w:rPr>
        <w:t xml:space="preserve">, M., y Serrano, R. (2015). “Hacia un Modelo de Aprovechamiento Turístico Sustentable en ANP: estudio de caso parque </w:t>
      </w:r>
      <w:proofErr w:type="spellStart"/>
      <w:r w:rsidRPr="007D2CB1">
        <w:rPr>
          <w:rFonts w:ascii="Times New Roman" w:hAnsi="Times New Roman" w:cs="Times New Roman"/>
          <w:bCs/>
          <w:sz w:val="24"/>
          <w:szCs w:val="24"/>
          <w:lang w:val="es-MX"/>
        </w:rPr>
        <w:t>Chankanaab</w:t>
      </w:r>
      <w:proofErr w:type="spellEnd"/>
      <w:r w:rsidRPr="007D2CB1">
        <w:rPr>
          <w:rFonts w:ascii="Times New Roman" w:hAnsi="Times New Roman" w:cs="Times New Roman"/>
          <w:bCs/>
          <w:sz w:val="24"/>
          <w:szCs w:val="24"/>
          <w:lang w:val="es-MX"/>
        </w:rPr>
        <w:t>, México</w:t>
      </w:r>
      <w:r w:rsidRPr="007D2CB1">
        <w:rPr>
          <w:rFonts w:ascii="Times New Roman" w:hAnsi="Times New Roman" w:cs="Times New Roman"/>
          <w:bCs/>
          <w:i/>
          <w:sz w:val="24"/>
          <w:szCs w:val="24"/>
          <w:lang w:val="es-MX"/>
        </w:rPr>
        <w:t xml:space="preserve">”, </w:t>
      </w:r>
      <w:proofErr w:type="gramStart"/>
      <w:r w:rsidRPr="007D2CB1">
        <w:rPr>
          <w:rFonts w:ascii="Times New Roman" w:hAnsi="Times New Roman" w:cs="Times New Roman"/>
          <w:bCs/>
          <w:i/>
          <w:sz w:val="24"/>
          <w:szCs w:val="24"/>
          <w:lang w:val="es-MX"/>
        </w:rPr>
        <w:t xml:space="preserve">PASOS,  </w:t>
      </w:r>
      <w:proofErr w:type="spellStart"/>
      <w:r w:rsidRPr="007D2CB1">
        <w:rPr>
          <w:rFonts w:ascii="Times New Roman" w:hAnsi="Times New Roman" w:cs="Times New Roman"/>
          <w:bCs/>
          <w:i/>
          <w:sz w:val="24"/>
          <w:szCs w:val="24"/>
          <w:lang w:val="es-MX"/>
        </w:rPr>
        <w:t>Vol</w:t>
      </w:r>
      <w:proofErr w:type="spellEnd"/>
      <w:proofErr w:type="gramEnd"/>
      <w:r w:rsidRPr="007D2CB1">
        <w:rPr>
          <w:rFonts w:ascii="Times New Roman" w:hAnsi="Times New Roman" w:cs="Times New Roman"/>
          <w:bCs/>
          <w:i/>
          <w:sz w:val="24"/>
          <w:szCs w:val="24"/>
          <w:lang w:val="es-MX"/>
        </w:rPr>
        <w:t xml:space="preserve"> 13 No (1), </w:t>
      </w:r>
      <w:proofErr w:type="spellStart"/>
      <w:r w:rsidRPr="007D2CB1">
        <w:rPr>
          <w:rFonts w:ascii="Times New Roman" w:hAnsi="Times New Roman" w:cs="Times New Roman"/>
          <w:bCs/>
          <w:i/>
          <w:sz w:val="24"/>
          <w:szCs w:val="24"/>
          <w:lang w:val="es-MX"/>
        </w:rPr>
        <w:t>pp</w:t>
      </w:r>
      <w:proofErr w:type="spellEnd"/>
      <w:r w:rsidRPr="007D2CB1">
        <w:rPr>
          <w:rFonts w:ascii="Times New Roman" w:hAnsi="Times New Roman" w:cs="Times New Roman"/>
          <w:bCs/>
          <w:i/>
          <w:sz w:val="24"/>
          <w:szCs w:val="24"/>
          <w:lang w:val="es-MX"/>
        </w:rPr>
        <w:t xml:space="preserve"> 25-42. </w:t>
      </w:r>
      <w:r w:rsidRPr="007D2CB1">
        <w:rPr>
          <w:rFonts w:ascii="Times New Roman" w:hAnsi="Times New Roman" w:cs="Times New Roman"/>
          <w:bCs/>
          <w:i/>
          <w:sz w:val="24"/>
          <w:szCs w:val="24"/>
          <w:lang w:val="en-US"/>
        </w:rPr>
        <w:t xml:space="preserve">ISNN. 1695-7121. Enlace: </w:t>
      </w:r>
      <w:hyperlink r:id="rId41" w:history="1">
        <w:r w:rsidRPr="007D2CB1">
          <w:rPr>
            <w:rStyle w:val="Hipervnculo"/>
            <w:rFonts w:ascii="Times New Roman" w:hAnsi="Times New Roman" w:cs="Times New Roman"/>
            <w:bCs/>
            <w:i/>
            <w:sz w:val="24"/>
            <w:szCs w:val="24"/>
            <w:lang w:val="en-US"/>
          </w:rPr>
          <w:t>http://www.pasosonline.org/Publicados/13115/PS0115_02.pdf</w:t>
        </w:r>
      </w:hyperlink>
    </w:p>
    <w:p w14:paraId="168483D3" w14:textId="77777777" w:rsidR="009E0FFC" w:rsidRPr="00611799" w:rsidRDefault="006B1808" w:rsidP="00B16FD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u w:val="single"/>
          <w:lang w:val="en-US"/>
        </w:rPr>
      </w:pPr>
      <w:r w:rsidRPr="00611799">
        <w:rPr>
          <w:rFonts w:ascii="Times New Roman" w:eastAsia="Times New Roman" w:hAnsi="Times New Roman" w:cs="Times New Roman"/>
          <w:sz w:val="24"/>
          <w:szCs w:val="24"/>
          <w:lang w:val="en-US"/>
        </w:rPr>
        <w:t xml:space="preserve">Tarragona, R. (07 </w:t>
      </w:r>
      <w:proofErr w:type="spellStart"/>
      <w:r w:rsidRPr="00611799">
        <w:rPr>
          <w:rFonts w:ascii="Times New Roman" w:eastAsia="Times New Roman" w:hAnsi="Times New Roman" w:cs="Times New Roman"/>
          <w:sz w:val="24"/>
          <w:szCs w:val="24"/>
          <w:lang w:val="en-US"/>
        </w:rPr>
        <w:t>abril</w:t>
      </w:r>
      <w:proofErr w:type="spellEnd"/>
      <w:r w:rsidRPr="00611799">
        <w:rPr>
          <w:rFonts w:ascii="Times New Roman" w:eastAsia="Times New Roman" w:hAnsi="Times New Roman" w:cs="Times New Roman"/>
          <w:sz w:val="24"/>
          <w:szCs w:val="24"/>
          <w:lang w:val="en-US"/>
        </w:rPr>
        <w:t>, 2020)  “</w:t>
      </w:r>
      <w:proofErr w:type="spellStart"/>
      <w:r w:rsidRPr="00611799">
        <w:rPr>
          <w:rFonts w:ascii="Times New Roman" w:eastAsia="Times New Roman" w:hAnsi="Times New Roman" w:cs="Times New Roman"/>
          <w:sz w:val="24"/>
          <w:szCs w:val="24"/>
          <w:lang w:val="en-US"/>
        </w:rPr>
        <w:t>Perderá</w:t>
      </w:r>
      <w:proofErr w:type="spellEnd"/>
      <w:r w:rsidRPr="00611799">
        <w:rPr>
          <w:rFonts w:ascii="Times New Roman" w:eastAsia="Times New Roman" w:hAnsi="Times New Roman" w:cs="Times New Roman"/>
          <w:sz w:val="24"/>
          <w:szCs w:val="24"/>
          <w:lang w:val="en-US"/>
        </w:rPr>
        <w:t xml:space="preserve"> turismo de Cozumel 700 </w:t>
      </w:r>
      <w:proofErr w:type="spellStart"/>
      <w:r w:rsidRPr="00611799">
        <w:rPr>
          <w:rFonts w:ascii="Times New Roman" w:eastAsia="Times New Roman" w:hAnsi="Times New Roman" w:cs="Times New Roman"/>
          <w:sz w:val="24"/>
          <w:szCs w:val="24"/>
          <w:lang w:val="en-US"/>
        </w:rPr>
        <w:t>mdd</w:t>
      </w:r>
      <w:proofErr w:type="spellEnd"/>
      <w:r w:rsidRPr="00611799">
        <w:rPr>
          <w:rFonts w:ascii="Times New Roman" w:eastAsia="Times New Roman" w:hAnsi="Times New Roman" w:cs="Times New Roman"/>
          <w:sz w:val="24"/>
          <w:szCs w:val="24"/>
          <w:lang w:val="en-US"/>
        </w:rPr>
        <w:t xml:space="preserve">”, </w:t>
      </w:r>
      <w:proofErr w:type="spellStart"/>
      <w:r w:rsidRPr="00611799">
        <w:rPr>
          <w:rFonts w:ascii="Times New Roman" w:eastAsia="Times New Roman" w:hAnsi="Times New Roman" w:cs="Times New Roman"/>
          <w:sz w:val="24"/>
          <w:szCs w:val="24"/>
          <w:lang w:val="en-US"/>
        </w:rPr>
        <w:t>consultado</w:t>
      </w:r>
      <w:proofErr w:type="spellEnd"/>
      <w:r w:rsidRPr="00611799">
        <w:rPr>
          <w:rFonts w:ascii="Times New Roman" w:eastAsia="Times New Roman" w:hAnsi="Times New Roman" w:cs="Times New Roman"/>
          <w:sz w:val="24"/>
          <w:szCs w:val="24"/>
          <w:lang w:val="en-US"/>
        </w:rPr>
        <w:t xml:space="preserve"> </w:t>
      </w:r>
      <w:proofErr w:type="spellStart"/>
      <w:r w:rsidRPr="00611799">
        <w:rPr>
          <w:rFonts w:ascii="Times New Roman" w:eastAsia="Times New Roman" w:hAnsi="Times New Roman" w:cs="Times New Roman"/>
          <w:sz w:val="24"/>
          <w:szCs w:val="24"/>
          <w:lang w:val="en-US"/>
        </w:rPr>
        <w:t>en</w:t>
      </w:r>
      <w:proofErr w:type="spellEnd"/>
      <w:r w:rsidRPr="00611799">
        <w:rPr>
          <w:rFonts w:ascii="Times New Roman" w:eastAsia="Times New Roman" w:hAnsi="Times New Roman" w:cs="Times New Roman"/>
          <w:sz w:val="24"/>
          <w:szCs w:val="24"/>
          <w:lang w:val="en-US"/>
        </w:rPr>
        <w:t xml:space="preserve"> </w:t>
      </w:r>
      <w:proofErr w:type="spellStart"/>
      <w:r w:rsidRPr="00611799">
        <w:rPr>
          <w:rFonts w:ascii="Times New Roman" w:eastAsia="Times New Roman" w:hAnsi="Times New Roman" w:cs="Times New Roman"/>
          <w:i/>
          <w:sz w:val="24"/>
          <w:szCs w:val="24"/>
          <w:lang w:val="en-US"/>
        </w:rPr>
        <w:t>Reforma</w:t>
      </w:r>
      <w:proofErr w:type="spellEnd"/>
      <w:r w:rsidRPr="00611799">
        <w:rPr>
          <w:rFonts w:ascii="Times New Roman" w:eastAsia="Times New Roman" w:hAnsi="Times New Roman" w:cs="Times New Roman"/>
          <w:i/>
          <w:sz w:val="24"/>
          <w:szCs w:val="24"/>
          <w:lang w:val="en-US"/>
        </w:rPr>
        <w:t xml:space="preserve">: </w:t>
      </w:r>
      <w:hyperlink r:id="rId42">
        <w:r w:rsidRPr="00611799">
          <w:rPr>
            <w:rFonts w:ascii="Times New Roman" w:eastAsia="Times New Roman" w:hAnsi="Times New Roman" w:cs="Times New Roman"/>
            <w:sz w:val="24"/>
            <w:szCs w:val="24"/>
            <w:u w:val="single"/>
            <w:lang w:val="en-US"/>
          </w:rPr>
          <w:t>https://www.reforma.com/aplicacioneslibre/preacceso/articulo/default.aspx?__rval=1&amp;urlredirect=https://www.reforma.com/perdera-turismo-de-cozumel-700-mdd/ar1913751?referer=--7d616165662f3a3a6262623b727a7a7279703b767a783a</w:t>
        </w:r>
      </w:hyperlink>
    </w:p>
    <w:p w14:paraId="74C1E694" w14:textId="77777777" w:rsidR="009E0FFC" w:rsidRPr="00DF0B57" w:rsidRDefault="006B1808" w:rsidP="00B16FD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 xml:space="preserve">Sancho, A., (2006). Introducción al turismo. </w:t>
      </w:r>
      <w:hyperlink r:id="rId43">
        <w:r w:rsidRPr="00DF0B57">
          <w:rPr>
            <w:rFonts w:ascii="Times New Roman" w:eastAsia="Times New Roman" w:hAnsi="Times New Roman" w:cs="Times New Roman"/>
            <w:sz w:val="24"/>
            <w:szCs w:val="24"/>
          </w:rPr>
          <w:t>http://www.utntyh.com/wp-content/uploads/2011/09/INTRODUCCION-AL-TURISMO-OMT.pdf</w:t>
        </w:r>
      </w:hyperlink>
    </w:p>
    <w:p w14:paraId="4DB7AD0F" w14:textId="77777777" w:rsidR="009E0FFC" w:rsidRPr="00DF0B57" w:rsidRDefault="006B1808" w:rsidP="00B16FD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 xml:space="preserve">Secretaría de Salud, (2020). Jornada Nacional de Sana Distancia. </w:t>
      </w:r>
      <w:hyperlink r:id="rId44">
        <w:r w:rsidRPr="00DF0B57">
          <w:rPr>
            <w:rFonts w:ascii="Times New Roman" w:eastAsia="Times New Roman" w:hAnsi="Times New Roman" w:cs="Times New Roman"/>
            <w:sz w:val="24"/>
            <w:szCs w:val="24"/>
            <w:u w:val="single"/>
          </w:rPr>
          <w:t>https://www.gob.mx/cms/uploads/attachment/file/541687/Jornada_Nacional_de_Sana_Distancia.pdf</w:t>
        </w:r>
      </w:hyperlink>
    </w:p>
    <w:p w14:paraId="1A76E481" w14:textId="77777777" w:rsidR="009E0FFC" w:rsidRPr="00DF0B57" w:rsidRDefault="006B1808" w:rsidP="00B16FD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lastRenderedPageBreak/>
        <w:t xml:space="preserve">Secretaria de turismo de Quintana Roo- SEDETUR, (2020), Ocupación hotelera diaria de los principales destinos del Caribe Mexicano, Portal de la Secretaria de Turismo Estatal, en: </w:t>
      </w:r>
      <w:hyperlink r:id="rId45">
        <w:r w:rsidRPr="00DF0B57">
          <w:rPr>
            <w:rFonts w:ascii="Times New Roman" w:eastAsia="Times New Roman" w:hAnsi="Times New Roman" w:cs="Times New Roman"/>
            <w:sz w:val="24"/>
            <w:szCs w:val="24"/>
            <w:u w:val="single"/>
          </w:rPr>
          <w:t>http://sedetursys.qroo.gob.mx/ocupacion/ocupacion.php?2020=on&amp;Btn=Ver&amp;BandOp=2</w:t>
        </w:r>
      </w:hyperlink>
    </w:p>
    <w:p w14:paraId="5E28EA59" w14:textId="77777777" w:rsidR="009E0FFC" w:rsidRPr="00DF0B57" w:rsidRDefault="006B1808" w:rsidP="00B16FD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 xml:space="preserve">SESA. [Secretaría de Salud Quintana Roo]. (29 de marzo del 2020). </w:t>
      </w:r>
      <w:r w:rsidRPr="00DF0B57">
        <w:rPr>
          <w:rFonts w:ascii="Times New Roman" w:eastAsia="Times New Roman" w:hAnsi="Times New Roman" w:cs="Times New Roman"/>
          <w:i/>
          <w:sz w:val="24"/>
          <w:szCs w:val="24"/>
        </w:rPr>
        <w:t xml:space="preserve">Panorama en Quintana Roo, 29 de marzo 2020: el total de casos notificados como sospechosos a COVID-19 es de 208 </w:t>
      </w:r>
      <w:r w:rsidRPr="00DF0B57">
        <w:rPr>
          <w:rFonts w:ascii="Times New Roman" w:eastAsia="Times New Roman" w:hAnsi="Times New Roman" w:cs="Times New Roman"/>
          <w:sz w:val="24"/>
          <w:szCs w:val="24"/>
        </w:rPr>
        <w:t xml:space="preserve">[Imagen adjunta] [Publicación de estado]. </w:t>
      </w:r>
      <w:r w:rsidRPr="00DF0B57">
        <w:rPr>
          <w:rFonts w:ascii="Times New Roman" w:eastAsia="Times New Roman" w:hAnsi="Times New Roman" w:cs="Times New Roman"/>
          <w:i/>
          <w:sz w:val="24"/>
          <w:szCs w:val="24"/>
        </w:rPr>
        <w:t xml:space="preserve">Facebook. </w:t>
      </w:r>
      <w:hyperlink r:id="rId46">
        <w:r w:rsidRPr="00DF0B57">
          <w:rPr>
            <w:rFonts w:ascii="Times New Roman" w:eastAsia="Times New Roman" w:hAnsi="Times New Roman" w:cs="Times New Roman"/>
            <w:sz w:val="24"/>
            <w:szCs w:val="24"/>
            <w:u w:val="single"/>
          </w:rPr>
          <w:t>https://www.facebook.com/SESAQROO/photos/a.670692429659522/3230235443705195/?type=3&amp;theater</w:t>
        </w:r>
      </w:hyperlink>
    </w:p>
    <w:p w14:paraId="62B34F17" w14:textId="77777777" w:rsidR="009E0FFC" w:rsidRPr="00DF0B57" w:rsidRDefault="006B1808" w:rsidP="00B16FD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u w:val="single"/>
        </w:rPr>
        <w:t xml:space="preserve">Vázquez, J., (04 de junio de 2020). Arribo de cruceristas a QR, a la baja. </w:t>
      </w:r>
      <w:r w:rsidRPr="00DF0B57">
        <w:rPr>
          <w:rFonts w:ascii="Times New Roman" w:eastAsia="Times New Roman" w:hAnsi="Times New Roman" w:cs="Times New Roman"/>
          <w:i/>
          <w:sz w:val="24"/>
          <w:szCs w:val="24"/>
          <w:u w:val="single"/>
        </w:rPr>
        <w:t xml:space="preserve">El Economista. </w:t>
      </w:r>
      <w:hyperlink r:id="rId47">
        <w:r w:rsidRPr="00DF0B57">
          <w:rPr>
            <w:rFonts w:ascii="Times New Roman" w:eastAsia="Times New Roman" w:hAnsi="Times New Roman" w:cs="Times New Roman"/>
            <w:sz w:val="24"/>
            <w:szCs w:val="24"/>
            <w:u w:val="single"/>
          </w:rPr>
          <w:t>https://www.eleconomista.com.mx/estados/Arribo-de-cruceristas-a-QR-a-la-baja-20200604-0157.html</w:t>
        </w:r>
      </w:hyperlink>
    </w:p>
    <w:p w14:paraId="13EE21BD" w14:textId="77777777" w:rsidR="009E0FFC" w:rsidRPr="00DF0B57" w:rsidRDefault="006B1808" w:rsidP="00B16FD8">
      <w:pPr>
        <w:numPr>
          <w:ilvl w:val="0"/>
          <w:numId w:val="1"/>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DF0B57">
        <w:rPr>
          <w:rFonts w:ascii="Times New Roman" w:eastAsia="Times New Roman" w:hAnsi="Times New Roman" w:cs="Times New Roman"/>
          <w:sz w:val="24"/>
          <w:szCs w:val="24"/>
        </w:rPr>
        <w:t>WTO-Organización Mundial del Turismo (2020), COVID-19 YTURISMO 2020: análisis del año, Portal de la Organización Mundial del Turismo en: https://www.unwto.org/es/covid-19-y-sector-turistico-2020</w:t>
      </w:r>
    </w:p>
    <w:sectPr w:rsidR="009E0FFC" w:rsidRPr="00DF0B57" w:rsidSect="001B67D4">
      <w:footerReference w:type="default" r:id="rId48"/>
      <w:pgSz w:w="12240" w:h="15840"/>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83FCD" w14:textId="77777777" w:rsidR="006F31E2" w:rsidRDefault="006F31E2">
      <w:pPr>
        <w:spacing w:after="0" w:line="240" w:lineRule="auto"/>
      </w:pPr>
      <w:r>
        <w:separator/>
      </w:r>
    </w:p>
  </w:endnote>
  <w:endnote w:type="continuationSeparator" w:id="0">
    <w:p w14:paraId="29E22966" w14:textId="77777777" w:rsidR="006F31E2" w:rsidRDefault="006F3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dENeueHelvetica-Roman">
    <w:panose1 w:val="00000000000000000000"/>
    <w:charset w:val="00"/>
    <w:family w:val="roman"/>
    <w:notTrueType/>
    <w:pitch w:val="default"/>
  </w:font>
  <w:font w:name="Leelawadee UI Semilight">
    <w:panose1 w:val="020B0402040204020203"/>
    <w:charset w:val="00"/>
    <w:family w:val="swiss"/>
    <w:pitch w:val="variable"/>
    <w:sig w:usb0="A3000003" w:usb1="00000000" w:usb2="00010000" w:usb3="00000000" w:csb0="000101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7AC4" w14:textId="4C3478A2" w:rsidR="00D078D6" w:rsidRDefault="00D078D6">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C7D4B">
      <w:rPr>
        <w:noProof/>
        <w:color w:val="000000"/>
      </w:rPr>
      <w:t>21</w:t>
    </w:r>
    <w:r>
      <w:rPr>
        <w:color w:val="000000"/>
      </w:rPr>
      <w:fldChar w:fldCharType="end"/>
    </w:r>
  </w:p>
  <w:p w14:paraId="6CCC97A1" w14:textId="77777777" w:rsidR="00D078D6" w:rsidRDefault="00D078D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D35BC" w14:textId="77777777" w:rsidR="006F31E2" w:rsidRDefault="006F31E2">
      <w:pPr>
        <w:spacing w:after="0" w:line="240" w:lineRule="auto"/>
      </w:pPr>
      <w:r>
        <w:separator/>
      </w:r>
    </w:p>
  </w:footnote>
  <w:footnote w:type="continuationSeparator" w:id="0">
    <w:p w14:paraId="7C5ED74D" w14:textId="77777777" w:rsidR="006F31E2" w:rsidRDefault="006F31E2">
      <w:pPr>
        <w:spacing w:after="0" w:line="240" w:lineRule="auto"/>
      </w:pPr>
      <w:r>
        <w:continuationSeparator/>
      </w:r>
    </w:p>
  </w:footnote>
  <w:footnote w:id="1">
    <w:p w14:paraId="0AF7ECB3" w14:textId="77777777" w:rsidR="00D078D6" w:rsidRDefault="00D078D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Profesora Investigadora de la Universidad de Quintana Roo, Unidad Académica Zona Norte, México. Dra. En geografía por la Universidad Nacional Autónoma de México (UNAM) y Miembro del Sistema Nacional de Investigadores.  larroyo@uqroo.edu.mx</w:t>
      </w:r>
    </w:p>
  </w:footnote>
  <w:footnote w:id="2">
    <w:p w14:paraId="64404952" w14:textId="77777777" w:rsidR="00D078D6" w:rsidRDefault="00D078D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Profesor investigador de la Universidad de Quintana Roo. Unidad académica Zona Norte, México. Dr. En Análisis e Investigación espacial por la Bauhaus </w:t>
      </w:r>
      <w:proofErr w:type="spellStart"/>
      <w:r>
        <w:rPr>
          <w:color w:val="000000"/>
          <w:sz w:val="20"/>
          <w:szCs w:val="20"/>
        </w:rPr>
        <w:t>Universität</w:t>
      </w:r>
      <w:proofErr w:type="spellEnd"/>
      <w:r>
        <w:rPr>
          <w:color w:val="000000"/>
          <w:sz w:val="20"/>
          <w:szCs w:val="20"/>
        </w:rPr>
        <w:t>, Alemania. Miembro del Sistema Nacional de Investigadores. ofrausto@uqroo.edu.mx</w:t>
      </w:r>
    </w:p>
  </w:footnote>
  <w:footnote w:id="3">
    <w:p w14:paraId="1149B4C5" w14:textId="77777777" w:rsidR="00D078D6" w:rsidRDefault="00D078D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Maestra en Gestión Sustentable del Turismo y estudiante de Doctorado en Desarrollo Sostenible de la Universidad de Quintana Roo, Unidad Académica Zona Norte, México. Correo: stepbolan@uqroo.edu.mx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6960"/>
    <w:multiLevelType w:val="hybridMultilevel"/>
    <w:tmpl w:val="BFD86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72C8A"/>
    <w:multiLevelType w:val="multilevel"/>
    <w:tmpl w:val="B0F895A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C6205B7"/>
    <w:multiLevelType w:val="multilevel"/>
    <w:tmpl w:val="ECF635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F52831"/>
    <w:multiLevelType w:val="multilevel"/>
    <w:tmpl w:val="1B26F6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E0499E"/>
    <w:multiLevelType w:val="multilevel"/>
    <w:tmpl w:val="97D2E8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75D18BF"/>
    <w:multiLevelType w:val="multilevel"/>
    <w:tmpl w:val="FACA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18C7CC6"/>
    <w:multiLevelType w:val="hybridMultilevel"/>
    <w:tmpl w:val="A9E64A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FFC"/>
    <w:rsid w:val="000522E4"/>
    <w:rsid w:val="00061BE1"/>
    <w:rsid w:val="0009349D"/>
    <w:rsid w:val="000A3209"/>
    <w:rsid w:val="000B1030"/>
    <w:rsid w:val="001B4B99"/>
    <w:rsid w:val="001B67D4"/>
    <w:rsid w:val="001E3024"/>
    <w:rsid w:val="001F520A"/>
    <w:rsid w:val="00270B0C"/>
    <w:rsid w:val="002922EC"/>
    <w:rsid w:val="002B69D7"/>
    <w:rsid w:val="00385DEB"/>
    <w:rsid w:val="003E2229"/>
    <w:rsid w:val="00520CC1"/>
    <w:rsid w:val="00540FBD"/>
    <w:rsid w:val="005C2FE6"/>
    <w:rsid w:val="005D3EA9"/>
    <w:rsid w:val="005E7AC7"/>
    <w:rsid w:val="00607587"/>
    <w:rsid w:val="00611799"/>
    <w:rsid w:val="006448BE"/>
    <w:rsid w:val="00686597"/>
    <w:rsid w:val="006B1337"/>
    <w:rsid w:val="006B1808"/>
    <w:rsid w:val="006B532B"/>
    <w:rsid w:val="006F31E2"/>
    <w:rsid w:val="0079506F"/>
    <w:rsid w:val="007D2CB1"/>
    <w:rsid w:val="007D5636"/>
    <w:rsid w:val="007E3F8B"/>
    <w:rsid w:val="007F5B26"/>
    <w:rsid w:val="007F6D8B"/>
    <w:rsid w:val="0085420C"/>
    <w:rsid w:val="008869FC"/>
    <w:rsid w:val="008F05A0"/>
    <w:rsid w:val="009417B0"/>
    <w:rsid w:val="009530D3"/>
    <w:rsid w:val="00962679"/>
    <w:rsid w:val="00985E29"/>
    <w:rsid w:val="009E0FFC"/>
    <w:rsid w:val="009E419D"/>
    <w:rsid w:val="00A51DE3"/>
    <w:rsid w:val="00A672E6"/>
    <w:rsid w:val="00A856D2"/>
    <w:rsid w:val="00A93C9A"/>
    <w:rsid w:val="00AE5734"/>
    <w:rsid w:val="00AF483F"/>
    <w:rsid w:val="00B16FD8"/>
    <w:rsid w:val="00B74590"/>
    <w:rsid w:val="00BD1C51"/>
    <w:rsid w:val="00D078D6"/>
    <w:rsid w:val="00D71453"/>
    <w:rsid w:val="00D7147F"/>
    <w:rsid w:val="00D925CB"/>
    <w:rsid w:val="00DB58CF"/>
    <w:rsid w:val="00DE5FE2"/>
    <w:rsid w:val="00DF0B57"/>
    <w:rsid w:val="00E11571"/>
    <w:rsid w:val="00E3435B"/>
    <w:rsid w:val="00E63856"/>
    <w:rsid w:val="00EA41D5"/>
    <w:rsid w:val="00EC7D4B"/>
    <w:rsid w:val="00FD006E"/>
    <w:rsid w:val="00FE6C9D"/>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BA8AA"/>
  <w15:docId w15:val="{DAD0AE2B-C4F9-4E87-98DE-B8215493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DA63B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semiHidden/>
    <w:unhideWhenUsed/>
    <w:qFormat/>
    <w:rsid w:val="007C5B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fontstyle01">
    <w:name w:val="fontstyle01"/>
    <w:basedOn w:val="Fuentedeprrafopredeter"/>
    <w:rsid w:val="00A23888"/>
    <w:rPr>
      <w:rFonts w:ascii="BdENeueHelvetica-Roman" w:hAnsi="BdENeueHelvetica-Roman" w:hint="default"/>
      <w:b w:val="0"/>
      <w:bCs w:val="0"/>
      <w:i w:val="0"/>
      <w:iCs w:val="0"/>
      <w:color w:val="242021"/>
      <w:sz w:val="18"/>
      <w:szCs w:val="18"/>
    </w:rPr>
  </w:style>
  <w:style w:type="paragraph" w:styleId="Textoindependiente">
    <w:name w:val="Body Text"/>
    <w:basedOn w:val="Normal"/>
    <w:link w:val="TextoindependienteCar"/>
    <w:uiPriority w:val="1"/>
    <w:qFormat/>
    <w:rsid w:val="006344F7"/>
    <w:pPr>
      <w:widowControl w:val="0"/>
      <w:autoSpaceDE w:val="0"/>
      <w:autoSpaceDN w:val="0"/>
      <w:spacing w:after="0" w:line="240" w:lineRule="auto"/>
    </w:pPr>
    <w:rPr>
      <w:rFonts w:ascii="Leelawadee UI Semilight" w:eastAsia="Leelawadee UI Semilight" w:hAnsi="Leelawadee UI Semilight" w:cs="Leelawadee UI Semilight"/>
      <w:sz w:val="25"/>
      <w:szCs w:val="25"/>
      <w:lang w:val="es-ES"/>
    </w:rPr>
  </w:style>
  <w:style w:type="character" w:customStyle="1" w:styleId="TextoindependienteCar">
    <w:name w:val="Texto independiente Car"/>
    <w:basedOn w:val="Fuentedeprrafopredeter"/>
    <w:link w:val="Textoindependiente"/>
    <w:uiPriority w:val="1"/>
    <w:rsid w:val="006344F7"/>
    <w:rPr>
      <w:rFonts w:ascii="Leelawadee UI Semilight" w:eastAsia="Leelawadee UI Semilight" w:hAnsi="Leelawadee UI Semilight" w:cs="Leelawadee UI Semilight"/>
      <w:sz w:val="25"/>
      <w:szCs w:val="25"/>
      <w:lang w:val="es-ES"/>
    </w:rPr>
  </w:style>
  <w:style w:type="paragraph" w:styleId="Prrafodelista">
    <w:name w:val="List Paragraph"/>
    <w:basedOn w:val="Normal"/>
    <w:uiPriority w:val="34"/>
    <w:qFormat/>
    <w:rsid w:val="006344F7"/>
    <w:pPr>
      <w:widowControl w:val="0"/>
      <w:autoSpaceDE w:val="0"/>
      <w:autoSpaceDN w:val="0"/>
      <w:spacing w:before="99" w:after="0" w:line="240" w:lineRule="auto"/>
      <w:ind w:left="705" w:hanging="452"/>
    </w:pPr>
    <w:rPr>
      <w:rFonts w:ascii="Leelawadee UI Semilight" w:eastAsia="Leelawadee UI Semilight" w:hAnsi="Leelawadee UI Semilight" w:cs="Leelawadee UI Semilight"/>
      <w:lang w:val="es-ES"/>
    </w:rPr>
  </w:style>
  <w:style w:type="paragraph" w:customStyle="1" w:styleId="Default">
    <w:name w:val="Default"/>
    <w:rsid w:val="003B68A2"/>
    <w:pPr>
      <w:autoSpaceDE w:val="0"/>
      <w:autoSpaceDN w:val="0"/>
      <w:adjustRightInd w:val="0"/>
      <w:spacing w:after="0" w:line="240" w:lineRule="auto"/>
    </w:pPr>
    <w:rPr>
      <w:rFonts w:ascii="Times New Roman" w:hAnsi="Times New Roman" w:cs="Times New Roman"/>
      <w:color w:val="000000"/>
      <w:sz w:val="24"/>
      <w:szCs w:val="24"/>
    </w:rPr>
  </w:style>
  <w:style w:type="paragraph" w:styleId="Textonotapie">
    <w:name w:val="footnote text"/>
    <w:basedOn w:val="Normal"/>
    <w:link w:val="TextonotapieCar"/>
    <w:uiPriority w:val="99"/>
    <w:semiHidden/>
    <w:unhideWhenUsed/>
    <w:rsid w:val="00D628F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628FC"/>
    <w:rPr>
      <w:sz w:val="20"/>
      <w:szCs w:val="20"/>
      <w:lang w:val="es-MX"/>
    </w:rPr>
  </w:style>
  <w:style w:type="character" w:styleId="Refdenotaalpie">
    <w:name w:val="footnote reference"/>
    <w:basedOn w:val="Fuentedeprrafopredeter"/>
    <w:uiPriority w:val="99"/>
    <w:semiHidden/>
    <w:unhideWhenUsed/>
    <w:rsid w:val="00D628FC"/>
    <w:rPr>
      <w:vertAlign w:val="superscript"/>
    </w:rPr>
  </w:style>
  <w:style w:type="paragraph" w:styleId="NormalWeb">
    <w:name w:val="Normal (Web)"/>
    <w:basedOn w:val="Normal"/>
    <w:uiPriority w:val="99"/>
    <w:unhideWhenUsed/>
    <w:rsid w:val="004B394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A330E6"/>
    <w:rPr>
      <w:sz w:val="16"/>
      <w:szCs w:val="16"/>
    </w:rPr>
  </w:style>
  <w:style w:type="paragraph" w:styleId="Textocomentario">
    <w:name w:val="annotation text"/>
    <w:basedOn w:val="Normal"/>
    <w:link w:val="TextocomentarioCar"/>
    <w:uiPriority w:val="99"/>
    <w:semiHidden/>
    <w:unhideWhenUsed/>
    <w:rsid w:val="00A330E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330E6"/>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A330E6"/>
    <w:rPr>
      <w:b/>
      <w:bCs/>
    </w:rPr>
  </w:style>
  <w:style w:type="character" w:customStyle="1" w:styleId="AsuntodelcomentarioCar">
    <w:name w:val="Asunto del comentario Car"/>
    <w:basedOn w:val="TextocomentarioCar"/>
    <w:link w:val="Asuntodelcomentario"/>
    <w:uiPriority w:val="99"/>
    <w:semiHidden/>
    <w:rsid w:val="00A330E6"/>
    <w:rPr>
      <w:b/>
      <w:bCs/>
      <w:sz w:val="20"/>
      <w:szCs w:val="20"/>
      <w:lang w:val="es-MX"/>
    </w:rPr>
  </w:style>
  <w:style w:type="paragraph" w:styleId="Textodeglobo">
    <w:name w:val="Balloon Text"/>
    <w:basedOn w:val="Normal"/>
    <w:link w:val="TextodegloboCar"/>
    <w:uiPriority w:val="99"/>
    <w:semiHidden/>
    <w:unhideWhenUsed/>
    <w:rsid w:val="00A330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30E6"/>
    <w:rPr>
      <w:rFonts w:ascii="Segoe UI" w:hAnsi="Segoe UI" w:cs="Segoe UI"/>
      <w:sz w:val="18"/>
      <w:szCs w:val="18"/>
      <w:lang w:val="es-MX"/>
    </w:rPr>
  </w:style>
  <w:style w:type="character" w:styleId="Hipervnculo">
    <w:name w:val="Hyperlink"/>
    <w:basedOn w:val="Fuentedeprrafopredeter"/>
    <w:uiPriority w:val="99"/>
    <w:unhideWhenUsed/>
    <w:rsid w:val="0089479E"/>
    <w:rPr>
      <w:color w:val="0563C1" w:themeColor="hyperlink"/>
      <w:u w:val="single"/>
    </w:rPr>
  </w:style>
  <w:style w:type="character" w:customStyle="1" w:styleId="titulonot">
    <w:name w:val="titulo_not"/>
    <w:basedOn w:val="Fuentedeprrafopredeter"/>
    <w:rsid w:val="00404465"/>
  </w:style>
  <w:style w:type="character" w:customStyle="1" w:styleId="fecha">
    <w:name w:val="fecha"/>
    <w:basedOn w:val="Fuentedeprrafopredeter"/>
    <w:rsid w:val="00404465"/>
  </w:style>
  <w:style w:type="character" w:customStyle="1" w:styleId="Ttulo1Car">
    <w:name w:val="Título 1 Car"/>
    <w:basedOn w:val="Fuentedeprrafopredeter"/>
    <w:link w:val="Ttulo1"/>
    <w:uiPriority w:val="9"/>
    <w:rsid w:val="00DA63BE"/>
    <w:rPr>
      <w:rFonts w:ascii="Times New Roman" w:eastAsia="Times New Roman" w:hAnsi="Times New Roman" w:cs="Times New Roman"/>
      <w:b/>
      <w:bCs/>
      <w:kern w:val="36"/>
      <w:sz w:val="48"/>
      <w:szCs w:val="48"/>
    </w:rPr>
  </w:style>
  <w:style w:type="character" w:customStyle="1" w:styleId="nitfauthor">
    <w:name w:val="nitf_author"/>
    <w:basedOn w:val="Fuentedeprrafopredeter"/>
    <w:rsid w:val="00816A05"/>
  </w:style>
  <w:style w:type="character" w:styleId="Textoennegrita">
    <w:name w:val="Strong"/>
    <w:basedOn w:val="Fuentedeprrafopredeter"/>
    <w:uiPriority w:val="22"/>
    <w:qFormat/>
    <w:rsid w:val="00723ED0"/>
    <w:rPr>
      <w:b/>
      <w:bCs/>
    </w:rPr>
  </w:style>
  <w:style w:type="paragraph" w:styleId="Encabezado">
    <w:name w:val="header"/>
    <w:basedOn w:val="Normal"/>
    <w:link w:val="EncabezadoCar"/>
    <w:uiPriority w:val="99"/>
    <w:unhideWhenUsed/>
    <w:rsid w:val="00B80F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0FBB"/>
    <w:rPr>
      <w:lang w:val="es-MX"/>
    </w:rPr>
  </w:style>
  <w:style w:type="paragraph" w:styleId="Piedepgina">
    <w:name w:val="footer"/>
    <w:basedOn w:val="Normal"/>
    <w:link w:val="PiedepginaCar"/>
    <w:uiPriority w:val="99"/>
    <w:unhideWhenUsed/>
    <w:rsid w:val="00B80F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0FBB"/>
    <w:rPr>
      <w:lang w:val="es-MX"/>
    </w:rPr>
  </w:style>
  <w:style w:type="character" w:customStyle="1" w:styleId="Mencinsinresolver1">
    <w:name w:val="Mención sin resolver1"/>
    <w:basedOn w:val="Fuentedeprrafopredeter"/>
    <w:uiPriority w:val="99"/>
    <w:semiHidden/>
    <w:unhideWhenUsed/>
    <w:rsid w:val="00563982"/>
    <w:rPr>
      <w:color w:val="605E5C"/>
      <w:shd w:val="clear" w:color="auto" w:fill="E1DFDD"/>
    </w:rPr>
  </w:style>
  <w:style w:type="paragraph" w:styleId="Sinespaciado">
    <w:name w:val="No Spacing"/>
    <w:link w:val="SinespaciadoCar"/>
    <w:uiPriority w:val="1"/>
    <w:qFormat/>
    <w:rsid w:val="00815A3F"/>
    <w:pPr>
      <w:spacing w:after="0" w:line="360" w:lineRule="auto"/>
      <w:jc w:val="both"/>
    </w:pPr>
    <w:rPr>
      <w:rFonts w:ascii="Arial" w:hAnsi="Arial"/>
      <w:sz w:val="24"/>
    </w:rPr>
  </w:style>
  <w:style w:type="character" w:customStyle="1" w:styleId="SinespaciadoCar">
    <w:name w:val="Sin espaciado Car"/>
    <w:link w:val="Sinespaciado"/>
    <w:uiPriority w:val="1"/>
    <w:rsid w:val="00815A3F"/>
    <w:rPr>
      <w:rFonts w:ascii="Arial" w:hAnsi="Arial"/>
      <w:sz w:val="24"/>
      <w:lang w:val="es-MX"/>
    </w:rPr>
  </w:style>
  <w:style w:type="character" w:customStyle="1" w:styleId="fuente">
    <w:name w:val="fuente"/>
    <w:basedOn w:val="Fuentedeprrafopredeter"/>
    <w:rsid w:val="009E1B0D"/>
  </w:style>
  <w:style w:type="table" w:customStyle="1" w:styleId="Tabla">
    <w:name w:val="Tabla"/>
    <w:basedOn w:val="Tablanormal"/>
    <w:uiPriority w:val="99"/>
    <w:rsid w:val="009303BD"/>
    <w:pPr>
      <w:spacing w:after="0" w:line="240" w:lineRule="auto"/>
      <w:jc w:val="center"/>
    </w:pPr>
    <w:rPr>
      <w:rFonts w:ascii="Times New Roman" w:hAnsi="Times New Roman"/>
      <w:sz w:val="24"/>
    </w:rPr>
    <w:tblPr>
      <w:tblBorders>
        <w:bottom w:val="single" w:sz="4" w:space="0" w:color="auto"/>
      </w:tblBorders>
    </w:tblPr>
    <w:tcPr>
      <w:vAlign w:val="center"/>
    </w:tcPr>
    <w:tblStylePr w:type="firstRow">
      <w:tblPr/>
      <w:tcPr>
        <w:tcBorders>
          <w:top w:val="single" w:sz="4" w:space="0" w:color="auto"/>
          <w:bottom w:val="single" w:sz="4" w:space="0" w:color="auto"/>
        </w:tcBorders>
      </w:tcPr>
    </w:tblStylePr>
    <w:tblStylePr w:type="firstCol">
      <w:pPr>
        <w:jc w:val="left"/>
      </w:pPr>
    </w:tblStylePr>
  </w:style>
  <w:style w:type="character" w:customStyle="1" w:styleId="Ttulo2Car">
    <w:name w:val="Título 2 Car"/>
    <w:basedOn w:val="Fuentedeprrafopredeter"/>
    <w:link w:val="Ttulo2"/>
    <w:uiPriority w:val="9"/>
    <w:semiHidden/>
    <w:rsid w:val="007C5B7D"/>
    <w:rPr>
      <w:rFonts w:asciiTheme="majorHAnsi" w:eastAsiaTheme="majorEastAsia" w:hAnsiTheme="majorHAnsi" w:cstheme="majorBidi"/>
      <w:color w:val="2E74B5" w:themeColor="accent1" w:themeShade="BF"/>
      <w:sz w:val="26"/>
      <w:szCs w:val="26"/>
      <w:lang w:val="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TableNormal"/>
    <w:pPr>
      <w:spacing w:after="0" w:line="240" w:lineRule="auto"/>
      <w:jc w:val="center"/>
    </w:pPr>
    <w:rPr>
      <w:rFonts w:ascii="Times New Roman" w:eastAsia="Times New Roman" w:hAnsi="Times New Roman" w:cs="Times New Roman"/>
      <w:sz w:val="24"/>
      <w:szCs w:val="24"/>
    </w:rPr>
    <w:tblPr>
      <w:tblStyleRowBandSize w:val="1"/>
      <w:tblStyleColBandSize w:val="1"/>
      <w:tblCellMar>
        <w:left w:w="115" w:type="dxa"/>
        <w:right w:w="115" w:type="dxa"/>
      </w:tblCellMar>
    </w:tblPr>
    <w:tcPr>
      <w:vAlign w:val="center"/>
    </w:tcPr>
    <w:tblStylePr w:type="firstRow">
      <w:tblPr/>
      <w:tcPr>
        <w:tcBorders>
          <w:top w:val="single" w:sz="4" w:space="0" w:color="000000"/>
          <w:bottom w:val="single" w:sz="4" w:space="0" w:color="000000"/>
        </w:tcBorders>
      </w:tcPr>
    </w:tblStylePr>
    <w:tblStylePr w:type="firstCol">
      <w:pPr>
        <w:jc w:val="left"/>
      </w:pPr>
    </w:tblStylePr>
  </w:style>
  <w:style w:type="table" w:customStyle="1" w:styleId="5">
    <w:name w:val="5"/>
    <w:basedOn w:val="TableNormal"/>
    <w:pPr>
      <w:spacing w:after="0" w:line="240" w:lineRule="auto"/>
      <w:jc w:val="center"/>
    </w:pPr>
    <w:rPr>
      <w:rFonts w:ascii="Times New Roman" w:eastAsia="Times New Roman" w:hAnsi="Times New Roman" w:cs="Times New Roman"/>
      <w:sz w:val="24"/>
      <w:szCs w:val="24"/>
    </w:rPr>
    <w:tblPr>
      <w:tblStyleRowBandSize w:val="1"/>
      <w:tblStyleColBandSize w:val="1"/>
      <w:tblCellMar>
        <w:left w:w="115" w:type="dxa"/>
        <w:right w:w="115" w:type="dxa"/>
      </w:tblCellMar>
    </w:tblPr>
    <w:tcPr>
      <w:vAlign w:val="center"/>
    </w:tcPr>
    <w:tblStylePr w:type="firstRow">
      <w:tblPr/>
      <w:tcPr>
        <w:tcBorders>
          <w:top w:val="single" w:sz="4" w:space="0" w:color="000000"/>
          <w:bottom w:val="single" w:sz="4" w:space="0" w:color="000000"/>
        </w:tcBorders>
      </w:tcPr>
    </w:tblStylePr>
    <w:tblStylePr w:type="firstCol">
      <w:pPr>
        <w:jc w:val="left"/>
      </w:pPr>
    </w:tblStylePr>
  </w:style>
  <w:style w:type="table" w:customStyle="1" w:styleId="4">
    <w:name w:val="4"/>
    <w:basedOn w:val="TableNormal"/>
    <w:pPr>
      <w:spacing w:after="0" w:line="240" w:lineRule="auto"/>
      <w:jc w:val="center"/>
    </w:pPr>
    <w:rPr>
      <w:rFonts w:ascii="Times New Roman" w:eastAsia="Times New Roman" w:hAnsi="Times New Roman" w:cs="Times New Roman"/>
      <w:sz w:val="24"/>
      <w:szCs w:val="24"/>
    </w:rPr>
    <w:tblPr>
      <w:tblStyleRowBandSize w:val="1"/>
      <w:tblStyleColBandSize w:val="1"/>
      <w:tblCellMar>
        <w:left w:w="115" w:type="dxa"/>
        <w:right w:w="115" w:type="dxa"/>
      </w:tblCellMar>
    </w:tblPr>
    <w:tcPr>
      <w:vAlign w:val="center"/>
    </w:tcPr>
    <w:tblStylePr w:type="firstRow">
      <w:tblPr/>
      <w:tcPr>
        <w:tcBorders>
          <w:top w:val="single" w:sz="4" w:space="0" w:color="000000"/>
          <w:bottom w:val="single" w:sz="4" w:space="0" w:color="000000"/>
        </w:tcBorders>
      </w:tcPr>
    </w:tblStylePr>
    <w:tblStylePr w:type="firstCol">
      <w:pPr>
        <w:jc w:val="left"/>
      </w:pPr>
    </w:tblStylePr>
  </w:style>
  <w:style w:type="table" w:customStyle="1" w:styleId="3">
    <w:name w:val="3"/>
    <w:basedOn w:val="TableNormal"/>
    <w:pPr>
      <w:spacing w:after="0" w:line="240" w:lineRule="auto"/>
      <w:jc w:val="center"/>
    </w:pPr>
    <w:rPr>
      <w:rFonts w:ascii="Times New Roman" w:eastAsia="Times New Roman" w:hAnsi="Times New Roman" w:cs="Times New Roman"/>
      <w:sz w:val="24"/>
      <w:szCs w:val="24"/>
    </w:rPr>
    <w:tblPr>
      <w:tblStyleRowBandSize w:val="1"/>
      <w:tblStyleColBandSize w:val="1"/>
      <w:tblCellMar>
        <w:left w:w="115" w:type="dxa"/>
        <w:right w:w="115" w:type="dxa"/>
      </w:tblCellMar>
    </w:tblPr>
    <w:tcPr>
      <w:vAlign w:val="center"/>
    </w:tcPr>
    <w:tblStylePr w:type="firstRow">
      <w:tblPr/>
      <w:tcPr>
        <w:tcBorders>
          <w:top w:val="single" w:sz="4" w:space="0" w:color="000000"/>
          <w:bottom w:val="single" w:sz="4" w:space="0" w:color="000000"/>
        </w:tcBorders>
      </w:tcPr>
    </w:tblStylePr>
    <w:tblStylePr w:type="firstCol">
      <w:pPr>
        <w:jc w:val="left"/>
      </w:pPr>
    </w:tblStylePr>
  </w:style>
  <w:style w:type="table" w:customStyle="1" w:styleId="2">
    <w:name w:val="2"/>
    <w:basedOn w:val="TableNormal"/>
    <w:pPr>
      <w:spacing w:after="0" w:line="240" w:lineRule="auto"/>
      <w:jc w:val="center"/>
    </w:pPr>
    <w:rPr>
      <w:rFonts w:ascii="Times New Roman" w:eastAsia="Times New Roman" w:hAnsi="Times New Roman" w:cs="Times New Roman"/>
      <w:sz w:val="24"/>
      <w:szCs w:val="24"/>
    </w:rPr>
    <w:tblPr>
      <w:tblStyleRowBandSize w:val="1"/>
      <w:tblStyleColBandSize w:val="1"/>
      <w:tblCellMar>
        <w:left w:w="115" w:type="dxa"/>
        <w:right w:w="115" w:type="dxa"/>
      </w:tblCellMar>
    </w:tblPr>
    <w:tcPr>
      <w:vAlign w:val="center"/>
    </w:tcPr>
    <w:tblStylePr w:type="firstRow">
      <w:tblPr/>
      <w:tcPr>
        <w:tcBorders>
          <w:top w:val="single" w:sz="4" w:space="0" w:color="000000"/>
          <w:bottom w:val="single" w:sz="4" w:space="0" w:color="000000"/>
        </w:tcBorders>
      </w:tcPr>
    </w:tblStylePr>
    <w:tblStylePr w:type="firstCol">
      <w:pPr>
        <w:jc w:val="left"/>
      </w:pPr>
    </w:tblStylePr>
  </w:style>
  <w:style w:type="table" w:customStyle="1" w:styleId="1">
    <w:name w:val="1"/>
    <w:basedOn w:val="TableNormal"/>
    <w:pPr>
      <w:spacing w:after="0" w:line="240" w:lineRule="auto"/>
      <w:jc w:val="center"/>
    </w:pPr>
    <w:rPr>
      <w:rFonts w:ascii="Times New Roman" w:eastAsia="Times New Roman" w:hAnsi="Times New Roman" w:cs="Times New Roman"/>
      <w:sz w:val="24"/>
      <w:szCs w:val="24"/>
    </w:rPr>
    <w:tblPr>
      <w:tblStyleRowBandSize w:val="1"/>
      <w:tblStyleColBandSize w:val="1"/>
      <w:tblCellMar>
        <w:left w:w="115" w:type="dxa"/>
        <w:right w:w="115" w:type="dxa"/>
      </w:tblCellMar>
    </w:tblPr>
    <w:tcPr>
      <w:vAlign w:val="center"/>
    </w:tcPr>
    <w:tblStylePr w:type="firstRow">
      <w:tblPr/>
      <w:tcPr>
        <w:tcBorders>
          <w:top w:val="single" w:sz="4" w:space="0" w:color="000000"/>
          <w:bottom w:val="single" w:sz="4" w:space="0" w:color="000000"/>
        </w:tcBorders>
      </w:tcPr>
    </w:tblStylePr>
    <w:tblStylePr w:type="firstCol">
      <w:pPr>
        <w:jc w:val="lef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70826">
      <w:bodyDiv w:val="1"/>
      <w:marLeft w:val="0"/>
      <w:marRight w:val="0"/>
      <w:marTop w:val="0"/>
      <w:marBottom w:val="0"/>
      <w:divBdr>
        <w:top w:val="none" w:sz="0" w:space="0" w:color="auto"/>
        <w:left w:val="none" w:sz="0" w:space="0" w:color="auto"/>
        <w:bottom w:val="none" w:sz="0" w:space="0" w:color="auto"/>
        <w:right w:val="none" w:sz="0" w:space="0" w:color="auto"/>
      </w:divBdr>
      <w:divsChild>
        <w:div w:id="929193164">
          <w:marLeft w:val="-225"/>
          <w:marRight w:val="-225"/>
          <w:marTop w:val="0"/>
          <w:marBottom w:val="0"/>
          <w:divBdr>
            <w:top w:val="none" w:sz="0" w:space="0" w:color="auto"/>
            <w:left w:val="none" w:sz="0" w:space="0" w:color="auto"/>
            <w:bottom w:val="none" w:sz="0" w:space="0" w:color="auto"/>
            <w:right w:val="none" w:sz="0" w:space="0" w:color="auto"/>
          </w:divBdr>
          <w:divsChild>
            <w:div w:id="1141921432">
              <w:marLeft w:val="0"/>
              <w:marRight w:val="0"/>
              <w:marTop w:val="0"/>
              <w:marBottom w:val="0"/>
              <w:divBdr>
                <w:top w:val="none" w:sz="0" w:space="0" w:color="auto"/>
                <w:left w:val="none" w:sz="0" w:space="0" w:color="auto"/>
                <w:bottom w:val="none" w:sz="0" w:space="0" w:color="auto"/>
                <w:right w:val="none" w:sz="0" w:space="0" w:color="auto"/>
              </w:divBdr>
              <w:divsChild>
                <w:div w:id="186219026">
                  <w:marLeft w:val="0"/>
                  <w:marRight w:val="0"/>
                  <w:marTop w:val="0"/>
                  <w:marBottom w:val="0"/>
                  <w:divBdr>
                    <w:top w:val="none" w:sz="0" w:space="0" w:color="auto"/>
                    <w:left w:val="none" w:sz="0" w:space="0" w:color="auto"/>
                    <w:bottom w:val="none" w:sz="0" w:space="0" w:color="auto"/>
                    <w:right w:val="none" w:sz="0" w:space="0" w:color="auto"/>
                  </w:divBdr>
                  <w:divsChild>
                    <w:div w:id="2092461934">
                      <w:marLeft w:val="0"/>
                      <w:marRight w:val="0"/>
                      <w:marTop w:val="0"/>
                      <w:marBottom w:val="0"/>
                      <w:divBdr>
                        <w:top w:val="none" w:sz="0" w:space="0" w:color="auto"/>
                        <w:left w:val="none" w:sz="0" w:space="0" w:color="auto"/>
                        <w:bottom w:val="none" w:sz="0" w:space="0" w:color="auto"/>
                        <w:right w:val="none" w:sz="0" w:space="0" w:color="auto"/>
                      </w:divBdr>
                      <w:divsChild>
                        <w:div w:id="549340645">
                          <w:marLeft w:val="-225"/>
                          <w:marRight w:val="-225"/>
                          <w:marTop w:val="0"/>
                          <w:marBottom w:val="0"/>
                          <w:divBdr>
                            <w:top w:val="none" w:sz="0" w:space="0" w:color="auto"/>
                            <w:left w:val="none" w:sz="0" w:space="0" w:color="auto"/>
                            <w:bottom w:val="none" w:sz="0" w:space="0" w:color="auto"/>
                            <w:right w:val="none" w:sz="0" w:space="0" w:color="auto"/>
                          </w:divBdr>
                          <w:divsChild>
                            <w:div w:id="401489455">
                              <w:marLeft w:val="0"/>
                              <w:marRight w:val="0"/>
                              <w:marTop w:val="0"/>
                              <w:marBottom w:val="0"/>
                              <w:divBdr>
                                <w:top w:val="none" w:sz="0" w:space="0" w:color="auto"/>
                                <w:left w:val="none" w:sz="0" w:space="0" w:color="auto"/>
                                <w:bottom w:val="none" w:sz="0" w:space="0" w:color="auto"/>
                                <w:right w:val="none" w:sz="0" w:space="0" w:color="auto"/>
                              </w:divBdr>
                              <w:divsChild>
                                <w:div w:id="495418000">
                                  <w:marLeft w:val="0"/>
                                  <w:marRight w:val="0"/>
                                  <w:marTop w:val="0"/>
                                  <w:marBottom w:val="0"/>
                                  <w:divBdr>
                                    <w:top w:val="none" w:sz="0" w:space="0" w:color="auto"/>
                                    <w:left w:val="none" w:sz="0" w:space="0" w:color="auto"/>
                                    <w:bottom w:val="none" w:sz="0" w:space="0" w:color="auto"/>
                                    <w:right w:val="none" w:sz="0" w:space="0" w:color="auto"/>
                                  </w:divBdr>
                                  <w:divsChild>
                                    <w:div w:id="1810055480">
                                      <w:marLeft w:val="0"/>
                                      <w:marRight w:val="0"/>
                                      <w:marTop w:val="0"/>
                                      <w:marBottom w:val="0"/>
                                      <w:divBdr>
                                        <w:top w:val="none" w:sz="0" w:space="0" w:color="auto"/>
                                        <w:left w:val="none" w:sz="0" w:space="0" w:color="auto"/>
                                        <w:bottom w:val="none" w:sz="0" w:space="0" w:color="auto"/>
                                        <w:right w:val="none" w:sz="0" w:space="0" w:color="auto"/>
                                      </w:divBdr>
                                      <w:divsChild>
                                        <w:div w:id="621229019">
                                          <w:marLeft w:val="0"/>
                                          <w:marRight w:val="0"/>
                                          <w:marTop w:val="0"/>
                                          <w:marBottom w:val="525"/>
                                          <w:divBdr>
                                            <w:top w:val="none" w:sz="0" w:space="0" w:color="auto"/>
                                            <w:left w:val="none" w:sz="0" w:space="0" w:color="auto"/>
                                            <w:bottom w:val="none" w:sz="0" w:space="0" w:color="auto"/>
                                            <w:right w:val="none" w:sz="0" w:space="0" w:color="auto"/>
                                          </w:divBdr>
                                          <w:divsChild>
                                            <w:div w:id="106479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3394588">
          <w:marLeft w:val="-225"/>
          <w:marRight w:val="-225"/>
          <w:marTop w:val="0"/>
          <w:marBottom w:val="0"/>
          <w:divBdr>
            <w:top w:val="none" w:sz="0" w:space="0" w:color="auto"/>
            <w:left w:val="none" w:sz="0" w:space="0" w:color="auto"/>
            <w:bottom w:val="none" w:sz="0" w:space="0" w:color="auto"/>
            <w:right w:val="none" w:sz="0" w:space="0" w:color="auto"/>
          </w:divBdr>
          <w:divsChild>
            <w:div w:id="1743604597">
              <w:marLeft w:val="0"/>
              <w:marRight w:val="0"/>
              <w:marTop w:val="0"/>
              <w:marBottom w:val="0"/>
              <w:divBdr>
                <w:top w:val="none" w:sz="0" w:space="0" w:color="auto"/>
                <w:left w:val="none" w:sz="0" w:space="0" w:color="auto"/>
                <w:bottom w:val="none" w:sz="0" w:space="0" w:color="auto"/>
                <w:right w:val="none" w:sz="0" w:space="0" w:color="auto"/>
              </w:divBdr>
              <w:divsChild>
                <w:div w:id="1454397882">
                  <w:marLeft w:val="0"/>
                  <w:marRight w:val="0"/>
                  <w:marTop w:val="0"/>
                  <w:marBottom w:val="0"/>
                  <w:divBdr>
                    <w:top w:val="none" w:sz="0" w:space="0" w:color="auto"/>
                    <w:left w:val="none" w:sz="0" w:space="0" w:color="auto"/>
                    <w:bottom w:val="none" w:sz="0" w:space="0" w:color="auto"/>
                    <w:right w:val="none" w:sz="0" w:space="0" w:color="auto"/>
                  </w:divBdr>
                  <w:divsChild>
                    <w:div w:id="550120023">
                      <w:marLeft w:val="0"/>
                      <w:marRight w:val="0"/>
                      <w:marTop w:val="0"/>
                      <w:marBottom w:val="0"/>
                      <w:divBdr>
                        <w:top w:val="none" w:sz="0" w:space="0" w:color="auto"/>
                        <w:left w:val="none" w:sz="0" w:space="0" w:color="auto"/>
                        <w:bottom w:val="none" w:sz="0" w:space="0" w:color="auto"/>
                        <w:right w:val="none" w:sz="0" w:space="0" w:color="auto"/>
                      </w:divBdr>
                      <w:divsChild>
                        <w:div w:id="640816140">
                          <w:marLeft w:val="0"/>
                          <w:marRight w:val="0"/>
                          <w:marTop w:val="0"/>
                          <w:marBottom w:val="525"/>
                          <w:divBdr>
                            <w:top w:val="none" w:sz="0" w:space="0" w:color="auto"/>
                            <w:left w:val="none" w:sz="0" w:space="0" w:color="auto"/>
                            <w:bottom w:val="none" w:sz="0" w:space="0" w:color="auto"/>
                            <w:right w:val="none" w:sz="0" w:space="0" w:color="auto"/>
                          </w:divBdr>
                          <w:divsChild>
                            <w:div w:id="7324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220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hyperlink" Target="http://servicios.apiroo.com.mx/estadistica/" TargetMode="External"/><Relationship Id="rId26" Type="http://schemas.openxmlformats.org/officeDocument/2006/relationships/hyperlink" Target="https://riull.ull.es/xmlui/bitstream/handle/915/20571/Estudio%20de%20impactos%20de%20pandemias%20del%20siglo%20XXI%20en%20la%20economia%20y%20el%20sector%20turistico.pdf?sequence=1" TargetMode="External"/><Relationship Id="rId39" Type="http://schemas.openxmlformats.org/officeDocument/2006/relationships/hyperlink" Target="https://www.pwc.es/es/sector-publico/assets/brochure-estudios-impacto-economico.pdf" TargetMode="External"/><Relationship Id="rId21" Type="http://schemas.openxmlformats.org/officeDocument/2006/relationships/hyperlink" Target="https://doi.org/10.17843/rpmesp.2020.374.6866" TargetMode="External"/><Relationship Id="rId34" Type="http://schemas.openxmlformats.org/officeDocument/2006/relationships/hyperlink" Target="https://news.un.org/es/story/2020/05/1474102" TargetMode="External"/><Relationship Id="rId42" Type="http://schemas.openxmlformats.org/officeDocument/2006/relationships/hyperlink" Target="https://www.reforma.com/aplicacioneslibre/preacceso/articulo/default.aspx?__rval=1&amp;urlredirect=https://www.reforma.com/perdera-turismo-de-cozumel-700-mdd/ar1913751?referer=--7d616165662f3a3a6262623b727a7a7279703b767a783a" TargetMode="External"/><Relationship Id="rId47" Type="http://schemas.openxmlformats.org/officeDocument/2006/relationships/hyperlink" Target="https://www.eleconomista.com.mx/estados/Arribo-de-cruceristas-a-QR-a-la-baja-20200604-0157.html"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hart" Target="charts/chart7.xml"/><Relationship Id="rId29" Type="http://schemas.openxmlformats.org/officeDocument/2006/relationships/hyperlink" Target="http://coespo.qroo.gob.mx/Descargas/doc/PUBLICACCIONES%20DE%20INTERES/PANORAMA%20SOCIODEMOGRAFICO%20DE%20QUINTANA%20ROO%202015.pdf" TargetMode="External"/><Relationship Id="rId11" Type="http://schemas.openxmlformats.org/officeDocument/2006/relationships/chart" Target="charts/chart2.xml"/><Relationship Id="rId24" Type="http://schemas.openxmlformats.org/officeDocument/2006/relationships/hyperlink" Target="https://www.nejm.org/doi/pdf/10.1056/NEJMoa0903810" TargetMode="External"/><Relationship Id="rId32" Type="http://schemas.openxmlformats.org/officeDocument/2006/relationships/hyperlink" Target="https://noticias.canal10.tv/nota/municipios/afectaciones-economicas-en-sector-hotelero-2020-05-06" TargetMode="External"/><Relationship Id="rId37" Type="http://schemas.openxmlformats.org/officeDocument/2006/relationships/hyperlink" Target="https://www.palcoquintanarroense.com.mx/noticias-de-quintana-roo/en-riesgo-de-quiebra-el-80-de-las-empresas-afiliadas-a-la-coparmex-en-cozumel/" TargetMode="External"/><Relationship Id="rId40" Type="http://schemas.openxmlformats.org/officeDocument/2006/relationships/hyperlink" Target="https://www.eluniversal.com.mx/nacion/coronavirus-en-mexico-quienes-y-en-donde-han-perdido-su-empleo" TargetMode="External"/><Relationship Id="rId45" Type="http://schemas.openxmlformats.org/officeDocument/2006/relationships/hyperlink" Target="http://sedetursys.qroo.gob.mx/ocupacion/ocupacion.php?2020=on&amp;Btn=Ver&amp;BandOp=2" TargetMode="Externa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hyperlink" Target="https://tlaxcala.quadratin.com.mx/nacional/cae-97-y-99-operacion-en-aeropuertos-de-cancun-y-cozumel-en-abril/" TargetMode="External"/><Relationship Id="rId28" Type="http://schemas.openxmlformats.org/officeDocument/2006/relationships/hyperlink" Target="https://www.sinpermiso.info/textos/politica-anticapitalista-en-tiempos-de-covid-19" TargetMode="External"/><Relationship Id="rId36" Type="http://schemas.openxmlformats.org/officeDocument/2006/relationships/hyperlink" Target="https://www.researchgate.net/publication/343080239" TargetMode="External"/><Relationship Id="rId49"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s://www.lajornadamaya.mx/2020-03-12/Reconoce-Carlos-Joaquin-afectaciones-al-turismo-por-pandemia" TargetMode="External"/><Relationship Id="rId31" Type="http://schemas.openxmlformats.org/officeDocument/2006/relationships/hyperlink" Target="http://aebba.org/wp-content/uploads/2020/03/Coronavirus_Turismo_CICOTUR.pdf" TargetMode="External"/><Relationship Id="rId44" Type="http://schemas.openxmlformats.org/officeDocument/2006/relationships/hyperlink" Target="https://www.gob.mx/cms/uploads/attachment/file/541687/Jornada_Nacional_de_Sana_Distancia.pdf"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chart" Target="charts/chart5.xml"/><Relationship Id="rId22" Type="http://schemas.openxmlformats.org/officeDocument/2006/relationships/hyperlink" Target="http://www.albasud.org/blog/es/1287/trabajo-turistico-nuevos-riesgos-de-precarizacion-pospandemia" TargetMode="External"/><Relationship Id="rId27" Type="http://schemas.openxmlformats.org/officeDocument/2006/relationships/hyperlink" Target="https://covidreference.com/timeline_es" TargetMode="External"/><Relationship Id="rId30" Type="http://schemas.openxmlformats.org/officeDocument/2006/relationships/hyperlink" Target="http://datos.imss.gob.mx/dataset/asg-2020" TargetMode="External"/><Relationship Id="rId35" Type="http://schemas.openxmlformats.org/officeDocument/2006/relationships/hyperlink" Target="https://www.paho.org/hq/index.php?option=com_content&amp;view=article&amp;id=15756:who-characterizes-covid-19-as-a-pandemic&amp;Itemid=1926&amp;lang=es" TargetMode="External"/><Relationship Id="rId43" Type="http://schemas.openxmlformats.org/officeDocument/2006/relationships/hyperlink" Target="http://www.utntyh.com/wp-content/uploads/2011/09/INTRODUCCION-AL-TURISMO-OMT.pdf" TargetMode="External"/><Relationship Id="rId48"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hart" Target="charts/chart3.xml"/><Relationship Id="rId17" Type="http://schemas.openxmlformats.org/officeDocument/2006/relationships/hyperlink" Target="http://www.albasud.org/noticia/es/1202/vulnerabilidad-social-y-el-modelo-tur-stico-residencial-espa-ol-escenarios-frente-a-la-crisis-de-la-covid-19" TargetMode="External"/><Relationship Id="rId25" Type="http://schemas.openxmlformats.org/officeDocument/2006/relationships/hyperlink" Target="https://www.jornada.com.mx/ultimas/politica/2020/03/23/comienza-la-jornada-nacional-de-sana-distancia-1056.html" TargetMode="External"/><Relationship Id="rId33" Type="http://schemas.openxmlformats.org/officeDocument/2006/relationships/hyperlink" Target="https://mundomaritimo.cl/noticias/mexico-presenta-caida-del-666-en-arribo-de-cruceros-entre-enero-y-septiembre" TargetMode="External"/><Relationship Id="rId38" Type="http://schemas.openxmlformats.org/officeDocument/2006/relationships/hyperlink" Target="https://www.palcoquintanarroense.com.mx/noticias-de-quintana-roo/se-reconvierten-restaurantes-ofreciendo-solo-servicio-a-domicilio-para-salvar-negocios-y-planta-laboral-en-cozumel/" TargetMode="External"/><Relationship Id="rId46" Type="http://schemas.openxmlformats.org/officeDocument/2006/relationships/hyperlink" Target="https://www.facebook.com/SESAQROO/photos/a.670692429659522/3230235443705195/?type=3&amp;theater" TargetMode="External"/><Relationship Id="rId20" Type="http://schemas.openxmlformats.org/officeDocument/2006/relationships/hyperlink" Target="https://www.cefp.gob.mx/intr/edocumentos/pdf/cefp/2009/cefp0522009.pdf" TargetMode="External"/><Relationship Id="rId41" Type="http://schemas.openxmlformats.org/officeDocument/2006/relationships/hyperlink" Target="http://www.pasosonline.org/Publicados/13115/PS0115_02.pdf"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D:\Documentos\Servicio\Imp.%20COVID-\An&#225;lisis%20de%20datos\Tablas%20y%20gr&#225;fico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Documentos\Servicio\Imp.%20COVID-\An&#225;lisis%20de%20datos\Tablas%20y%20gr&#225;fico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Documentos\Servicio\Imp.%20COVID-\An&#225;lisis%20de%20datos\Tablas%20y%20gr&#225;fico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Documentos\Servicio\Imp.%20COVID-\An&#225;lisis%20de%20datos\Tablas%20y%20gr&#225;fico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Documentos\Servicio\Imp.%20COVID-\An&#225;lisis%20de%20datos\Tablas%20y%20gr&#225;fico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Documentos\Servicio\Imp.%20COVID-\An&#225;lisis%20de%20datos\Tablas%20y%20gr&#225;fico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Documentos\Servicio\Imp.%20COVID-\An&#225;lisis%20de%20datos\Tablas%20y%20gr&#225;ficos.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'GASTO DEL HOGAR'!$A$2:$A$4</c:f>
              <c:strCache>
                <c:ptCount val="3"/>
                <c:pt idx="0">
                  <c:v>Una</c:v>
                </c:pt>
                <c:pt idx="1">
                  <c:v>Dos</c:v>
                </c:pt>
                <c:pt idx="2">
                  <c:v>Más de dos</c:v>
                </c:pt>
              </c:strCache>
            </c:strRef>
          </c:cat>
          <c:val>
            <c:numRef>
              <c:f>'GASTO DEL HOGAR'!$C$2:$C$4</c:f>
              <c:numCache>
                <c:formatCode>0.0%</c:formatCode>
                <c:ptCount val="3"/>
                <c:pt idx="0">
                  <c:v>0.43785310734463279</c:v>
                </c:pt>
                <c:pt idx="1">
                  <c:v>0.38700564971751411</c:v>
                </c:pt>
                <c:pt idx="2">
                  <c:v>0.1751412429378531</c:v>
                </c:pt>
              </c:numCache>
            </c:numRef>
          </c:val>
          <c:extLst>
            <c:ext xmlns:c16="http://schemas.microsoft.com/office/drawing/2014/chart" uri="{C3380CC4-5D6E-409C-BE32-E72D297353CC}">
              <c16:uniqueId val="{00000000-613E-4AB6-AD87-392A6944807F}"/>
            </c:ext>
          </c:extLst>
        </c:ser>
        <c:dLbls>
          <c:dLblPos val="outEnd"/>
          <c:showLegendKey val="0"/>
          <c:showVal val="1"/>
          <c:showCatName val="0"/>
          <c:showSerName val="0"/>
          <c:showPercent val="0"/>
          <c:showBubbleSize val="0"/>
        </c:dLbls>
        <c:gapWidth val="100"/>
        <c:overlap val="-24"/>
        <c:axId val="1468225808"/>
        <c:axId val="1468226896"/>
      </c:barChart>
      <c:catAx>
        <c:axId val="146822580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s-MX"/>
          </a:p>
        </c:txPr>
        <c:crossAx val="1468226896"/>
        <c:crosses val="autoZero"/>
        <c:auto val="1"/>
        <c:lblAlgn val="ctr"/>
        <c:lblOffset val="100"/>
        <c:noMultiLvlLbl val="0"/>
      </c:catAx>
      <c:valAx>
        <c:axId val="1468226896"/>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es-MX"/>
                  <a:t>Frecuencia</a:t>
                </a:r>
              </a:p>
            </c:rich>
          </c:tx>
          <c:layout>
            <c:manualLayout>
              <c:xMode val="edge"/>
              <c:yMode val="edge"/>
              <c:x val="1.5717092337917484E-2"/>
              <c:y val="0.42856658111106277"/>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s-MX"/>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s-MX"/>
          </a:p>
        </c:txPr>
        <c:crossAx val="1468225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INGRESOS!$A$1</c:f>
              <c:strCache>
                <c:ptCount val="1"/>
                <c:pt idx="0">
                  <c:v>Ingresos mensuales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INGRESOS!$A$2:$A$7</c:f>
              <c:strCache>
                <c:ptCount val="6"/>
                <c:pt idx="0">
                  <c:v>Menos de $1850</c:v>
                </c:pt>
                <c:pt idx="1">
                  <c:v>$1851- $ 3702</c:v>
                </c:pt>
                <c:pt idx="2">
                  <c:v>$3703 - $5553</c:v>
                </c:pt>
                <c:pt idx="3">
                  <c:v>$5553 - $7400</c:v>
                </c:pt>
                <c:pt idx="4">
                  <c:v>$7401 - $9500</c:v>
                </c:pt>
                <c:pt idx="5">
                  <c:v>Más de $9500</c:v>
                </c:pt>
              </c:strCache>
            </c:strRef>
          </c:cat>
          <c:val>
            <c:numRef>
              <c:f>INGRESOS!$C$2:$C$7</c:f>
              <c:numCache>
                <c:formatCode>0.0%</c:formatCode>
                <c:ptCount val="6"/>
                <c:pt idx="0">
                  <c:v>4.8022598870056499E-2</c:v>
                </c:pt>
                <c:pt idx="1">
                  <c:v>0.20903954802259886</c:v>
                </c:pt>
                <c:pt idx="2">
                  <c:v>0.20903954802259886</c:v>
                </c:pt>
                <c:pt idx="3">
                  <c:v>0.14124293785310735</c:v>
                </c:pt>
                <c:pt idx="4">
                  <c:v>0.14971751412429379</c:v>
                </c:pt>
                <c:pt idx="5">
                  <c:v>0.24293785310734464</c:v>
                </c:pt>
              </c:numCache>
            </c:numRef>
          </c:val>
          <c:extLst>
            <c:ext xmlns:c16="http://schemas.microsoft.com/office/drawing/2014/chart" uri="{C3380CC4-5D6E-409C-BE32-E72D297353CC}">
              <c16:uniqueId val="{00000000-7F46-4BCF-B4B0-58441651763E}"/>
            </c:ext>
          </c:extLst>
        </c:ser>
        <c:dLbls>
          <c:dLblPos val="outEnd"/>
          <c:showLegendKey val="0"/>
          <c:showVal val="1"/>
          <c:showCatName val="0"/>
          <c:showSerName val="0"/>
          <c:showPercent val="0"/>
          <c:showBubbleSize val="0"/>
        </c:dLbls>
        <c:gapWidth val="219"/>
        <c:overlap val="-27"/>
        <c:axId val="1468221456"/>
        <c:axId val="1468213296"/>
      </c:barChart>
      <c:catAx>
        <c:axId val="14682214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MX"/>
                  <a:t>Rango de ingresos mensuales</a:t>
                </a:r>
              </a:p>
            </c:rich>
          </c:tx>
          <c:layout>
            <c:manualLayout>
              <c:xMode val="edge"/>
              <c:yMode val="edge"/>
              <c:x val="0.41312136253344489"/>
              <c:y val="0.916603632093158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468213296"/>
        <c:crosses val="autoZero"/>
        <c:auto val="1"/>
        <c:lblAlgn val="ctr"/>
        <c:lblOffset val="100"/>
        <c:noMultiLvlLbl val="0"/>
      </c:catAx>
      <c:valAx>
        <c:axId val="14682132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MX"/>
                  <a:t>Frecuencia</a:t>
                </a:r>
              </a:p>
            </c:rich>
          </c:tx>
          <c:layout>
            <c:manualLayout>
              <c:xMode val="edge"/>
              <c:yMode val="edge"/>
              <c:x val="1.5555552833674045E-2"/>
              <c:y val="0.3813145998259652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468221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VIVIENDA!$A$1</c:f>
              <c:strCache>
                <c:ptCount val="1"/>
                <c:pt idx="0">
                  <c:v>Vivienda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VIVIENDA!$A$2:$A$6</c:f>
              <c:strCache>
                <c:ptCount val="5"/>
                <c:pt idx="0">
                  <c:v>Propia</c:v>
                </c:pt>
                <c:pt idx="1">
                  <c:v>Rentada</c:v>
                </c:pt>
                <c:pt idx="2">
                  <c:v>Le prestan la vivienda</c:v>
                </c:pt>
                <c:pt idx="3">
                  <c:v>La está pagando</c:v>
                </c:pt>
                <c:pt idx="4">
                  <c:v>Familiar</c:v>
                </c:pt>
              </c:strCache>
            </c:strRef>
          </c:cat>
          <c:val>
            <c:numRef>
              <c:f>VIVIENDA!$C$2:$C$6</c:f>
              <c:numCache>
                <c:formatCode>0.0%</c:formatCode>
                <c:ptCount val="5"/>
                <c:pt idx="0">
                  <c:v>0.43785310734463279</c:v>
                </c:pt>
                <c:pt idx="1">
                  <c:v>0.3615819209039548</c:v>
                </c:pt>
                <c:pt idx="2">
                  <c:v>9.6045197740112997E-2</c:v>
                </c:pt>
                <c:pt idx="3">
                  <c:v>9.8870056497175146E-2</c:v>
                </c:pt>
                <c:pt idx="4">
                  <c:v>5.6497175141242938E-3</c:v>
                </c:pt>
              </c:numCache>
            </c:numRef>
          </c:val>
          <c:extLst>
            <c:ext xmlns:c16="http://schemas.microsoft.com/office/drawing/2014/chart" uri="{C3380CC4-5D6E-409C-BE32-E72D297353CC}">
              <c16:uniqueId val="{00000000-A9CA-4F24-B28A-A3DF78249907}"/>
            </c:ext>
          </c:extLst>
        </c:ser>
        <c:dLbls>
          <c:dLblPos val="outEnd"/>
          <c:showLegendKey val="0"/>
          <c:showVal val="1"/>
          <c:showCatName val="0"/>
          <c:showSerName val="0"/>
          <c:showPercent val="0"/>
          <c:showBubbleSize val="0"/>
        </c:dLbls>
        <c:gapWidth val="219"/>
        <c:overlap val="-27"/>
        <c:axId val="1468224176"/>
        <c:axId val="1468214384"/>
      </c:barChart>
      <c:catAx>
        <c:axId val="1468224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468214384"/>
        <c:crosses val="autoZero"/>
        <c:auto val="1"/>
        <c:lblAlgn val="ctr"/>
        <c:lblOffset val="100"/>
        <c:noMultiLvlLbl val="0"/>
      </c:catAx>
      <c:valAx>
        <c:axId val="14682143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MX"/>
                  <a:t>Frecuencia</a:t>
                </a:r>
              </a:p>
            </c:rich>
          </c:tx>
          <c:layout>
            <c:manualLayout>
              <c:xMode val="edge"/>
              <c:yMode val="edge"/>
              <c:x val="1.0840106858985147E-2"/>
              <c:y val="0.3839801184272255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468224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6566330430692"/>
          <c:y val="1.960849935080429E-2"/>
          <c:w val="0.84408041153715252"/>
          <c:h val="0.79019420093149517"/>
        </c:manualLayout>
      </c:layout>
      <c:barChart>
        <c:barDir val="col"/>
        <c:grouping val="clustered"/>
        <c:varyColors val="0"/>
        <c:ser>
          <c:idx val="0"/>
          <c:order val="0"/>
          <c:tx>
            <c:strRef>
              <c:f>'GASTOS MENSUALES'!$A$22</c:f>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'GASTOS MENSUALES'!$A$2:$A$7</c:f>
              <c:strCache>
                <c:ptCount val="6"/>
                <c:pt idx="0">
                  <c:v>Menos de $1850</c:v>
                </c:pt>
                <c:pt idx="1">
                  <c:v>$1851- $ 3702</c:v>
                </c:pt>
                <c:pt idx="2">
                  <c:v>$3703 - $5553</c:v>
                </c:pt>
                <c:pt idx="3">
                  <c:v>$5553 - $7400</c:v>
                </c:pt>
                <c:pt idx="4">
                  <c:v>$7401 - $9500</c:v>
                </c:pt>
                <c:pt idx="5">
                  <c:v>Más de $9500</c:v>
                </c:pt>
              </c:strCache>
            </c:strRef>
          </c:cat>
          <c:val>
            <c:numRef>
              <c:f>'GASTOS MENSUALES'!$C$2:$C$7</c:f>
              <c:numCache>
                <c:formatCode>0.0%</c:formatCode>
                <c:ptCount val="6"/>
                <c:pt idx="0">
                  <c:v>8.1920903954802254E-2</c:v>
                </c:pt>
                <c:pt idx="1">
                  <c:v>0.22598870056497175</c:v>
                </c:pt>
                <c:pt idx="2">
                  <c:v>0.24858757062146894</c:v>
                </c:pt>
                <c:pt idx="3">
                  <c:v>0.16666666666666666</c:v>
                </c:pt>
                <c:pt idx="4">
                  <c:v>0.14689265536723164</c:v>
                </c:pt>
                <c:pt idx="5">
                  <c:v>0.12994350282485875</c:v>
                </c:pt>
              </c:numCache>
            </c:numRef>
          </c:val>
          <c:extLst>
            <c:ext xmlns:c16="http://schemas.microsoft.com/office/drawing/2014/chart" uri="{C3380CC4-5D6E-409C-BE32-E72D297353CC}">
              <c16:uniqueId val="{00000000-24AE-4782-B563-828CA22E073E}"/>
            </c:ext>
          </c:extLst>
        </c:ser>
        <c:dLbls>
          <c:dLblPos val="outEnd"/>
          <c:showLegendKey val="0"/>
          <c:showVal val="1"/>
          <c:showCatName val="0"/>
          <c:showSerName val="0"/>
          <c:showPercent val="0"/>
          <c:showBubbleSize val="0"/>
        </c:dLbls>
        <c:gapWidth val="219"/>
        <c:overlap val="-27"/>
        <c:axId val="1468220368"/>
        <c:axId val="1468216560"/>
      </c:barChart>
      <c:catAx>
        <c:axId val="14682203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MX"/>
                  <a:t>Rango de gastos mensuales</a:t>
                </a:r>
              </a:p>
            </c:rich>
          </c:tx>
          <c:layout>
            <c:manualLayout>
              <c:xMode val="edge"/>
              <c:yMode val="edge"/>
              <c:x val="0.43105805156708354"/>
              <c:y val="0.9276895503151619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468216560"/>
        <c:crosses val="autoZero"/>
        <c:auto val="1"/>
        <c:lblAlgn val="ctr"/>
        <c:lblOffset val="100"/>
        <c:noMultiLvlLbl val="0"/>
      </c:catAx>
      <c:valAx>
        <c:axId val="14682165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MX"/>
                  <a:t>Frecuencia</a:t>
                </a:r>
              </a:p>
            </c:rich>
          </c:tx>
          <c:layout>
            <c:manualLayout>
              <c:xMode val="edge"/>
              <c:yMode val="edge"/>
              <c:x val="7.8431372549019607E-3"/>
              <c:y val="0.3873854642849950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468220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'TIPO DE APOYO'!$A$1</c:f>
              <c:strCache>
                <c:ptCount val="1"/>
                <c:pt idx="0">
                  <c:v>Tipo de apoyo</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'TIPO DE APOYO'!$A$2:$A$8</c:f>
              <c:strCache>
                <c:ptCount val="7"/>
                <c:pt idx="0">
                  <c:v>Despensa (municipal o estatal)</c:v>
                </c:pt>
                <c:pt idx="1">
                  <c:v>Apoyo económico</c:v>
                </c:pt>
                <c:pt idx="2">
                  <c:v>Préstamo de nómina</c:v>
                </c:pt>
                <c:pt idx="3">
                  <c:v>Préstamo bancario</c:v>
                </c:pt>
                <c:pt idx="4">
                  <c:v>Ninguno de los anteriores</c:v>
                </c:pt>
                <c:pt idx="5">
                  <c:v>Despensa federal</c:v>
                </c:pt>
                <c:pt idx="6">
                  <c:v>Apoyo de familia</c:v>
                </c:pt>
              </c:strCache>
            </c:strRef>
          </c:cat>
          <c:val>
            <c:numRef>
              <c:f>'TIPO DE APOYO'!$C$2:$C$8</c:f>
              <c:numCache>
                <c:formatCode>0.0%</c:formatCode>
                <c:ptCount val="7"/>
                <c:pt idx="0">
                  <c:v>0.82768361581920902</c:v>
                </c:pt>
                <c:pt idx="1">
                  <c:v>1.4124293785310734E-2</c:v>
                </c:pt>
                <c:pt idx="2">
                  <c:v>8.4745762711864406E-3</c:v>
                </c:pt>
                <c:pt idx="3">
                  <c:v>2.8248587570621469E-3</c:v>
                </c:pt>
                <c:pt idx="4">
                  <c:v>0.14124293785310735</c:v>
                </c:pt>
                <c:pt idx="5">
                  <c:v>2.8248587570621469E-3</c:v>
                </c:pt>
                <c:pt idx="6">
                  <c:v>2.8248587570621469E-3</c:v>
                </c:pt>
              </c:numCache>
            </c:numRef>
          </c:val>
          <c:extLst>
            <c:ext xmlns:c16="http://schemas.microsoft.com/office/drawing/2014/chart" uri="{C3380CC4-5D6E-409C-BE32-E72D297353CC}">
              <c16:uniqueId val="{00000000-B15A-4B71-921F-4C00922D7315}"/>
            </c:ext>
          </c:extLst>
        </c:ser>
        <c:dLbls>
          <c:dLblPos val="outEnd"/>
          <c:showLegendKey val="0"/>
          <c:showVal val="1"/>
          <c:showCatName val="0"/>
          <c:showSerName val="0"/>
          <c:showPercent val="0"/>
          <c:showBubbleSize val="0"/>
        </c:dLbls>
        <c:gapWidth val="100"/>
        <c:overlap val="-24"/>
        <c:axId val="1332148896"/>
        <c:axId val="1332160864"/>
      </c:barChart>
      <c:catAx>
        <c:axId val="133214889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MX"/>
                  <a:t>Tipo de apoyo</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332160864"/>
        <c:crosses val="autoZero"/>
        <c:auto val="1"/>
        <c:lblAlgn val="ctr"/>
        <c:lblOffset val="100"/>
        <c:noMultiLvlLbl val="0"/>
      </c:catAx>
      <c:valAx>
        <c:axId val="13321608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MX"/>
                  <a:t>Frecuencia</a:t>
                </a:r>
              </a:p>
            </c:rich>
          </c:tx>
          <c:layout>
            <c:manualLayout>
              <c:xMode val="edge"/>
              <c:yMode val="edge"/>
              <c:x val="9.9502487562189053E-3"/>
              <c:y val="0.37716891434375344"/>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332148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'TIEMPO DE RECUPERACIÓN'!$A$1</c:f>
              <c:strCache>
                <c:ptCount val="1"/>
                <c:pt idx="0">
                  <c:v>Tiempo de recuperación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'TIEMPO DE RECUPERACIÓN'!$A$2:$A$6</c:f>
              <c:strCache>
                <c:ptCount val="5"/>
                <c:pt idx="0">
                  <c:v>1-3 meses</c:v>
                </c:pt>
                <c:pt idx="1">
                  <c:v>3-6 meses</c:v>
                </c:pt>
                <c:pt idx="2">
                  <c:v>6 meses y 1 año</c:v>
                </c:pt>
                <c:pt idx="3">
                  <c:v>Más de un año</c:v>
                </c:pt>
                <c:pt idx="4">
                  <c:v>No sabe</c:v>
                </c:pt>
              </c:strCache>
            </c:strRef>
          </c:cat>
          <c:val>
            <c:numRef>
              <c:f>'TIEMPO DE RECUPERACIÓN'!$C$2:$C$6</c:f>
              <c:numCache>
                <c:formatCode>0.0%</c:formatCode>
                <c:ptCount val="5"/>
                <c:pt idx="0">
                  <c:v>0.14124293785310735</c:v>
                </c:pt>
                <c:pt idx="1">
                  <c:v>0.27966101694915252</c:v>
                </c:pt>
                <c:pt idx="2">
                  <c:v>0.26271186440677968</c:v>
                </c:pt>
                <c:pt idx="3">
                  <c:v>0.12429378531073447</c:v>
                </c:pt>
                <c:pt idx="4">
                  <c:v>0.19209039548022599</c:v>
                </c:pt>
              </c:numCache>
            </c:numRef>
          </c:val>
          <c:extLst>
            <c:ext xmlns:c16="http://schemas.microsoft.com/office/drawing/2014/chart" uri="{C3380CC4-5D6E-409C-BE32-E72D297353CC}">
              <c16:uniqueId val="{00000000-B0B7-46C2-85EB-9B0CF1770F0B}"/>
            </c:ext>
          </c:extLst>
        </c:ser>
        <c:dLbls>
          <c:dLblPos val="outEnd"/>
          <c:showLegendKey val="0"/>
          <c:showVal val="1"/>
          <c:showCatName val="0"/>
          <c:showSerName val="0"/>
          <c:showPercent val="0"/>
          <c:showBubbleSize val="0"/>
        </c:dLbls>
        <c:gapWidth val="219"/>
        <c:overlap val="-27"/>
        <c:axId val="1332154880"/>
        <c:axId val="1332150528"/>
      </c:barChart>
      <c:catAx>
        <c:axId val="13321548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MX"/>
                  <a:t>Tiempo estimado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332150528"/>
        <c:crosses val="autoZero"/>
        <c:auto val="1"/>
        <c:lblAlgn val="ctr"/>
        <c:lblOffset val="100"/>
        <c:noMultiLvlLbl val="0"/>
      </c:catAx>
      <c:valAx>
        <c:axId val="1332150528"/>
        <c:scaling>
          <c:orientation val="minMax"/>
        </c:scaling>
        <c:delete val="0"/>
        <c:axPos val="l"/>
        <c:majorGridlines>
          <c:spPr>
            <a:ln w="9525" cap="flat" cmpd="sng" algn="ctr">
              <a:solidFill>
                <a:schemeClr val="tx1">
                  <a:lumMod val="15000"/>
                  <a:lumOff val="85000"/>
                </a:schemeClr>
              </a:solidFill>
              <a:round/>
            </a:ln>
            <a:effectLst/>
          </c:spPr>
        </c:majorGridlines>
        <c:title>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332154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'TIEMPO REACTIV'!$A$1</c:f>
              <c:strCache>
                <c:ptCount val="1"/>
                <c:pt idx="0">
                  <c:v>Tiempo para reactivación del turismo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'TIEMPO REACTIV'!$A$2:$A$7</c:f>
              <c:strCache>
                <c:ptCount val="6"/>
                <c:pt idx="0">
                  <c:v>De forma inmediata</c:v>
                </c:pt>
                <c:pt idx="1">
                  <c:v>1-3 meses</c:v>
                </c:pt>
                <c:pt idx="2">
                  <c:v>3 -6 meses</c:v>
                </c:pt>
                <c:pt idx="3">
                  <c:v>6 meses y 1 año</c:v>
                </c:pt>
                <c:pt idx="4">
                  <c:v>Más de un año</c:v>
                </c:pt>
                <c:pt idx="5">
                  <c:v>No sabe</c:v>
                </c:pt>
              </c:strCache>
            </c:strRef>
          </c:cat>
          <c:val>
            <c:numRef>
              <c:f>'TIEMPO REACTIV'!$C$2:$C$7</c:f>
              <c:numCache>
                <c:formatCode>0.0%</c:formatCode>
                <c:ptCount val="6"/>
                <c:pt idx="0">
                  <c:v>1.4124293785310734E-2</c:v>
                </c:pt>
                <c:pt idx="1">
                  <c:v>0.17796610169491525</c:v>
                </c:pt>
                <c:pt idx="2">
                  <c:v>0.29096045197740111</c:v>
                </c:pt>
                <c:pt idx="3">
                  <c:v>0.28813559322033899</c:v>
                </c:pt>
                <c:pt idx="4">
                  <c:v>0.1440677966101695</c:v>
                </c:pt>
                <c:pt idx="5">
                  <c:v>8.4745762711864403E-2</c:v>
                </c:pt>
              </c:numCache>
            </c:numRef>
          </c:val>
          <c:extLst>
            <c:ext xmlns:c16="http://schemas.microsoft.com/office/drawing/2014/chart" uri="{C3380CC4-5D6E-409C-BE32-E72D297353CC}">
              <c16:uniqueId val="{00000000-0A06-426E-8066-E5570575C78F}"/>
            </c:ext>
          </c:extLst>
        </c:ser>
        <c:dLbls>
          <c:dLblPos val="outEnd"/>
          <c:showLegendKey val="0"/>
          <c:showVal val="1"/>
          <c:showCatName val="0"/>
          <c:showSerName val="0"/>
          <c:showPercent val="0"/>
          <c:showBubbleSize val="0"/>
        </c:dLbls>
        <c:gapWidth val="219"/>
        <c:overlap val="-27"/>
        <c:axId val="1411357200"/>
        <c:axId val="1411364272"/>
      </c:barChart>
      <c:catAx>
        <c:axId val="14113572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MX"/>
                  <a:t>Tiempo estimado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411364272"/>
        <c:crosses val="autoZero"/>
        <c:auto val="1"/>
        <c:lblAlgn val="ctr"/>
        <c:lblOffset val="100"/>
        <c:noMultiLvlLbl val="0"/>
      </c:catAx>
      <c:valAx>
        <c:axId val="14113642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MX"/>
                  <a:t>Frecuencia</a:t>
                </a:r>
              </a:p>
            </c:rich>
          </c:tx>
          <c:layout>
            <c:manualLayout>
              <c:xMode val="edge"/>
              <c:yMode val="edge"/>
              <c:x val="1.3468013468013467E-2"/>
              <c:y val="0.3589132127714804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411357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gYlNwPSolz4zSQAAzDSoqqxczHw==">AMUW2mWoG9pydTllerWXqKm+i2lKhQOUPcSLtL0wV3cJ9DNOZx0WdbHWeEMeR2bd7kPIsC5ZvCnhz1JK+OEohmGnHDYuwSp6eFdLhL8/+3hUZcFJ3eJMReg=</go:docsCustomData>
</go:gDocsCustomXmlDataStorage>
</file>

<file path=customXml/itemProps1.xml><?xml version="1.0" encoding="utf-8"?>
<ds:datastoreItem xmlns:ds="http://schemas.openxmlformats.org/officeDocument/2006/customXml" ds:itemID="{C2FBFC88-B750-445A-A57A-878042465B1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7688</Words>
  <Characters>42289</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LAA</dc:creator>
  <cp:keywords/>
  <dc:description/>
  <cp:lastModifiedBy>Stephanie Bolan Sorchini</cp:lastModifiedBy>
  <cp:revision>2</cp:revision>
  <dcterms:created xsi:type="dcterms:W3CDTF">2022-02-10T13:45:00Z</dcterms:created>
  <dcterms:modified xsi:type="dcterms:W3CDTF">2022-02-10T13:45:00Z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http://csl.mendeley.com/styles/135884811/apa-2spanish</vt:lpwstr>
  </property>
  <property fmtid="{D5CDD505-2E9C-101B-9397-08002B2CF9AE}" pid="9" name="Mendeley Recent Style Name 3_1">
    <vt:lpwstr>American Psychological Association 7th edition - stephanie bolan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64cc4aa9-8d92-35ca-be8b-01b63589302c</vt:lpwstr>
  </property>
  <property fmtid="{D5CDD505-2E9C-101B-9397-08002B2CF9AE}" pid="24" name="Mendeley Citation Style_1">
    <vt:lpwstr>http://www.zotero.org/styles/apa</vt:lpwstr>
  </property>
</Properties>
</file>