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9E4A" w14:textId="77777777" w:rsidR="00ED248B" w:rsidRPr="00AB4F72" w:rsidRDefault="00ED248B" w:rsidP="00135B46">
      <w:pPr>
        <w:spacing w:line="360" w:lineRule="auto"/>
        <w:rPr>
          <w:rFonts w:ascii="Times New Roman" w:hAnsi="Times New Roman" w:cs="Times New Roman"/>
          <w:b/>
          <w:bCs/>
          <w:sz w:val="24"/>
          <w:szCs w:val="24"/>
          <w:shd w:val="clear" w:color="auto" w:fill="FFFFFF"/>
        </w:rPr>
      </w:pPr>
      <w:r w:rsidRPr="00AB4F72">
        <w:rPr>
          <w:rFonts w:ascii="Times New Roman" w:hAnsi="Times New Roman" w:cs="Times New Roman"/>
          <w:b/>
          <w:bCs/>
          <w:sz w:val="24"/>
          <w:szCs w:val="24"/>
          <w:shd w:val="clear" w:color="auto" w:fill="FFFFFF"/>
        </w:rPr>
        <w:t>ARTÍCULO DE INVESTIGACIÓN</w:t>
      </w:r>
    </w:p>
    <w:p w14:paraId="5757A7A4" w14:textId="77777777" w:rsidR="00ED248B" w:rsidRPr="00AB4F72" w:rsidRDefault="00ED248B" w:rsidP="00135B46">
      <w:pPr>
        <w:spacing w:line="360" w:lineRule="auto"/>
        <w:jc w:val="center"/>
        <w:rPr>
          <w:rFonts w:ascii="Times New Roman" w:hAnsi="Times New Roman" w:cs="Times New Roman"/>
          <w:b/>
          <w:bCs/>
          <w:sz w:val="24"/>
          <w:szCs w:val="24"/>
        </w:rPr>
      </w:pPr>
    </w:p>
    <w:p w14:paraId="6D374795" w14:textId="4AEB5F95" w:rsidR="00182D29" w:rsidRDefault="00182D29" w:rsidP="00135B46">
      <w:pPr>
        <w:spacing w:line="360" w:lineRule="auto"/>
        <w:jc w:val="center"/>
        <w:rPr>
          <w:rFonts w:ascii="Times New Roman" w:hAnsi="Times New Roman" w:cs="Times New Roman"/>
          <w:b/>
          <w:bCs/>
          <w:sz w:val="24"/>
          <w:szCs w:val="24"/>
        </w:rPr>
      </w:pPr>
      <w:r w:rsidRPr="00AB4F72">
        <w:rPr>
          <w:rFonts w:ascii="Times New Roman" w:hAnsi="Times New Roman" w:cs="Times New Roman"/>
          <w:b/>
          <w:bCs/>
          <w:sz w:val="24"/>
          <w:szCs w:val="24"/>
        </w:rPr>
        <w:t>DINÁMICA DEL PRECIO DEL PETR</w:t>
      </w:r>
      <w:r w:rsidR="00AE6EDC" w:rsidRPr="00AB4F72">
        <w:rPr>
          <w:rFonts w:ascii="Times New Roman" w:hAnsi="Times New Roman" w:cs="Times New Roman"/>
          <w:b/>
          <w:bCs/>
          <w:sz w:val="24"/>
          <w:szCs w:val="24"/>
        </w:rPr>
        <w:t>Ó</w:t>
      </w:r>
      <w:r w:rsidRPr="00AB4F72">
        <w:rPr>
          <w:rFonts w:ascii="Times New Roman" w:hAnsi="Times New Roman" w:cs="Times New Roman"/>
          <w:b/>
          <w:bCs/>
          <w:sz w:val="24"/>
          <w:szCs w:val="24"/>
        </w:rPr>
        <w:t>LEO BRENT POR EL CONFLIC</w:t>
      </w:r>
      <w:r w:rsidR="007F2E82" w:rsidRPr="00AB4F72">
        <w:rPr>
          <w:rFonts w:ascii="Times New Roman" w:hAnsi="Times New Roman" w:cs="Times New Roman"/>
          <w:b/>
          <w:bCs/>
          <w:sz w:val="24"/>
          <w:szCs w:val="24"/>
        </w:rPr>
        <w:t>T</w:t>
      </w:r>
      <w:r w:rsidRPr="00AB4F72">
        <w:rPr>
          <w:rFonts w:ascii="Times New Roman" w:hAnsi="Times New Roman" w:cs="Times New Roman"/>
          <w:b/>
          <w:bCs/>
          <w:sz w:val="24"/>
          <w:szCs w:val="24"/>
        </w:rPr>
        <w:t>O EN UCRANIA</w:t>
      </w:r>
    </w:p>
    <w:p w14:paraId="2AD3F208" w14:textId="2AE2C8CC" w:rsidR="00CE4BD4" w:rsidRDefault="00CE4BD4" w:rsidP="00CE4BD4">
      <w:pPr>
        <w:spacing w:line="360" w:lineRule="auto"/>
        <w:jc w:val="center"/>
        <w:rPr>
          <w:rFonts w:ascii="Times New Roman" w:hAnsi="Times New Roman" w:cs="Times New Roman"/>
          <w:b/>
          <w:bCs/>
          <w:sz w:val="24"/>
          <w:szCs w:val="24"/>
          <w:lang w:val="en-US"/>
        </w:rPr>
      </w:pPr>
      <w:r w:rsidRPr="00AB4F72">
        <w:rPr>
          <w:rFonts w:ascii="Times New Roman" w:hAnsi="Times New Roman" w:cs="Times New Roman"/>
          <w:b/>
          <w:bCs/>
          <w:sz w:val="24"/>
          <w:szCs w:val="24"/>
          <w:lang w:val="en-US"/>
        </w:rPr>
        <w:t>DYNAMICS OF THE BRENT OIL PRICE DUE TO THE CONFLICT IN UKRAINE</w:t>
      </w:r>
    </w:p>
    <w:p w14:paraId="593DFB98" w14:textId="5E352F33" w:rsidR="00CE4BD4" w:rsidRPr="00CE4BD4" w:rsidRDefault="00CE4BD4" w:rsidP="00CE4BD4">
      <w:pPr>
        <w:spacing w:line="360" w:lineRule="auto"/>
        <w:jc w:val="center"/>
        <w:rPr>
          <w:rFonts w:ascii="Times New Roman" w:hAnsi="Times New Roman" w:cs="Times New Roman"/>
          <w:b/>
          <w:bCs/>
          <w:sz w:val="24"/>
          <w:szCs w:val="24"/>
          <w:lang w:val="pt-BR"/>
        </w:rPr>
      </w:pPr>
      <w:r w:rsidRPr="00CE4BD4">
        <w:rPr>
          <w:rFonts w:ascii="Times New Roman" w:hAnsi="Times New Roman" w:cs="Times New Roman"/>
          <w:b/>
          <w:bCs/>
          <w:sz w:val="24"/>
          <w:szCs w:val="24"/>
          <w:lang w:val="pt-BR"/>
        </w:rPr>
        <w:t>DINÂMICA DO PREÇO DO PETRÓLEO BRENT DEVIDO AO CONFLITO NA UCRÂNIA</w:t>
      </w:r>
    </w:p>
    <w:p w14:paraId="42BEBFE1" w14:textId="77777777" w:rsidR="00CE4BD4" w:rsidRPr="00CE4BD4" w:rsidRDefault="00CE4BD4" w:rsidP="00135B46">
      <w:pPr>
        <w:spacing w:line="360" w:lineRule="auto"/>
        <w:jc w:val="center"/>
        <w:rPr>
          <w:rFonts w:ascii="Times New Roman" w:hAnsi="Times New Roman" w:cs="Times New Roman"/>
          <w:b/>
          <w:bCs/>
          <w:sz w:val="24"/>
          <w:szCs w:val="24"/>
          <w:lang w:val="pt-BR"/>
        </w:rPr>
      </w:pPr>
    </w:p>
    <w:p w14:paraId="3B3C3407" w14:textId="62F9E607" w:rsidR="00182D29" w:rsidRPr="00CE4BD4" w:rsidRDefault="00182D29" w:rsidP="00135B46">
      <w:pPr>
        <w:spacing w:line="360" w:lineRule="auto"/>
        <w:jc w:val="center"/>
        <w:rPr>
          <w:rFonts w:ascii="Times New Roman" w:hAnsi="Times New Roman" w:cs="Times New Roman"/>
          <w:b/>
          <w:bCs/>
          <w:sz w:val="24"/>
          <w:szCs w:val="24"/>
          <w:lang w:val="pt-BR"/>
        </w:rPr>
      </w:pPr>
    </w:p>
    <w:p w14:paraId="75D8B627" w14:textId="77777777" w:rsidR="009D14B7" w:rsidRDefault="009D14B7" w:rsidP="009D14B7">
      <w:pPr>
        <w:pStyle w:val="Default"/>
      </w:pPr>
    </w:p>
    <w:p w14:paraId="15D0E930" w14:textId="77777777" w:rsidR="009D14B7" w:rsidRPr="009D14B7" w:rsidRDefault="009D14B7" w:rsidP="009D14B7">
      <w:pPr>
        <w:pStyle w:val="Default"/>
        <w:jc w:val="right"/>
      </w:pPr>
      <w:r w:rsidRPr="009D14B7">
        <w:t xml:space="preserve"> Jorge Enrique Díaz-Pinzón </w:t>
      </w:r>
    </w:p>
    <w:p w14:paraId="0A8E8306" w14:textId="157CC543" w:rsidR="009D14B7" w:rsidRPr="009D14B7" w:rsidRDefault="009D14B7" w:rsidP="009D14B7">
      <w:pPr>
        <w:pStyle w:val="Default"/>
        <w:jc w:val="right"/>
        <w:rPr>
          <w:color w:val="0462C1"/>
        </w:rPr>
      </w:pPr>
      <w:r w:rsidRPr="009D14B7">
        <w:t xml:space="preserve">ORCID: </w:t>
      </w:r>
      <w:r w:rsidRPr="009D14B7">
        <w:rPr>
          <w:color w:val="0462C1"/>
        </w:rPr>
        <w:t xml:space="preserve">https://orcid.org/0000-0002-8870-7769 </w:t>
      </w:r>
    </w:p>
    <w:p w14:paraId="79671E7F" w14:textId="77777777" w:rsidR="009D14B7" w:rsidRPr="009D14B7" w:rsidRDefault="009D14B7" w:rsidP="009D14B7">
      <w:pPr>
        <w:spacing w:line="360" w:lineRule="auto"/>
        <w:jc w:val="center"/>
        <w:rPr>
          <w:sz w:val="24"/>
          <w:szCs w:val="24"/>
        </w:rPr>
      </w:pPr>
    </w:p>
    <w:p w14:paraId="0DBB5DE7" w14:textId="77777777" w:rsidR="009D14B7" w:rsidRDefault="009D14B7" w:rsidP="009D14B7">
      <w:pPr>
        <w:spacing w:line="360" w:lineRule="auto"/>
        <w:jc w:val="center"/>
        <w:rPr>
          <w:sz w:val="23"/>
          <w:szCs w:val="23"/>
        </w:rPr>
      </w:pPr>
    </w:p>
    <w:p w14:paraId="00D7FDB4" w14:textId="77777777" w:rsidR="009D14B7" w:rsidRDefault="009D14B7" w:rsidP="009D14B7">
      <w:pPr>
        <w:spacing w:line="360" w:lineRule="auto"/>
        <w:jc w:val="center"/>
        <w:rPr>
          <w:sz w:val="23"/>
          <w:szCs w:val="23"/>
        </w:rPr>
      </w:pPr>
    </w:p>
    <w:p w14:paraId="3D4AA529" w14:textId="77777777" w:rsidR="009D14B7" w:rsidRDefault="009D14B7" w:rsidP="009D14B7">
      <w:pPr>
        <w:spacing w:line="360" w:lineRule="auto"/>
        <w:jc w:val="center"/>
        <w:rPr>
          <w:sz w:val="23"/>
          <w:szCs w:val="23"/>
        </w:rPr>
      </w:pPr>
    </w:p>
    <w:p w14:paraId="17F39F33" w14:textId="77777777" w:rsidR="009D14B7" w:rsidRDefault="009D14B7" w:rsidP="009D14B7">
      <w:pPr>
        <w:spacing w:line="360" w:lineRule="auto"/>
        <w:jc w:val="center"/>
        <w:rPr>
          <w:sz w:val="23"/>
          <w:szCs w:val="23"/>
        </w:rPr>
      </w:pPr>
    </w:p>
    <w:p w14:paraId="410C53F8" w14:textId="77777777" w:rsidR="009D14B7" w:rsidRDefault="009D14B7" w:rsidP="009D14B7">
      <w:pPr>
        <w:spacing w:line="360" w:lineRule="auto"/>
        <w:jc w:val="center"/>
        <w:rPr>
          <w:sz w:val="23"/>
          <w:szCs w:val="23"/>
        </w:rPr>
      </w:pPr>
    </w:p>
    <w:p w14:paraId="003AF617" w14:textId="77777777" w:rsidR="009D14B7" w:rsidRDefault="009D14B7" w:rsidP="009D14B7">
      <w:pPr>
        <w:spacing w:line="360" w:lineRule="auto"/>
        <w:jc w:val="center"/>
        <w:rPr>
          <w:sz w:val="23"/>
          <w:szCs w:val="23"/>
        </w:rPr>
      </w:pPr>
    </w:p>
    <w:p w14:paraId="13212EB2" w14:textId="77777777" w:rsidR="009D14B7" w:rsidRDefault="009D14B7" w:rsidP="009D14B7">
      <w:pPr>
        <w:spacing w:line="360" w:lineRule="auto"/>
        <w:jc w:val="center"/>
        <w:rPr>
          <w:sz w:val="23"/>
          <w:szCs w:val="23"/>
        </w:rPr>
      </w:pPr>
    </w:p>
    <w:p w14:paraId="29779429" w14:textId="77777777" w:rsidR="009D14B7" w:rsidRDefault="009D14B7" w:rsidP="009D14B7">
      <w:pPr>
        <w:spacing w:line="360" w:lineRule="auto"/>
        <w:jc w:val="center"/>
        <w:rPr>
          <w:sz w:val="23"/>
          <w:szCs w:val="23"/>
        </w:rPr>
      </w:pPr>
    </w:p>
    <w:p w14:paraId="27FA75CF" w14:textId="7B092905" w:rsidR="000A0C1F" w:rsidRPr="009D14B7" w:rsidRDefault="009D14B7" w:rsidP="009D14B7">
      <w:pPr>
        <w:spacing w:line="240" w:lineRule="auto"/>
        <w:jc w:val="both"/>
        <w:rPr>
          <w:rFonts w:ascii="Times New Roman" w:hAnsi="Times New Roman" w:cs="Times New Roman"/>
          <w:b/>
          <w:bCs/>
          <w:lang w:val="pt-BR"/>
        </w:rPr>
      </w:pPr>
      <w:r w:rsidRPr="009D14B7">
        <w:rPr>
          <w:rFonts w:ascii="Times New Roman" w:hAnsi="Times New Roman" w:cs="Times New Roman"/>
        </w:rPr>
        <w:t xml:space="preserve">* Ingeniero. Magister en Gestión de la Tecnología Educativa, Especialista en Administración de la Informática Educativa. Docente de matemáticas en la Secretaría de Educación de Soacha, Colombia. Investigador Junior (IJ) de MINCIENCIAS. Correo electrónico: </w:t>
      </w:r>
      <w:r w:rsidRPr="009D14B7">
        <w:rPr>
          <w:rFonts w:ascii="Times New Roman" w:hAnsi="Times New Roman" w:cs="Times New Roman"/>
          <w:color w:val="0462C1"/>
        </w:rPr>
        <w:t>jediazp@unal.edu.co</w:t>
      </w:r>
    </w:p>
    <w:p w14:paraId="3E7F3416" w14:textId="77777777" w:rsidR="00182D29" w:rsidRPr="009D14B7" w:rsidRDefault="00182D29" w:rsidP="009D14B7">
      <w:pPr>
        <w:spacing w:line="240" w:lineRule="auto"/>
        <w:jc w:val="both"/>
        <w:rPr>
          <w:rFonts w:ascii="Times New Roman" w:hAnsi="Times New Roman" w:cs="Times New Roman"/>
          <w:lang w:val="pt-BR"/>
        </w:rPr>
      </w:pPr>
    </w:p>
    <w:p w14:paraId="4167BA3D" w14:textId="77777777" w:rsidR="009842F1" w:rsidRPr="00CE4BD4" w:rsidRDefault="009842F1" w:rsidP="009842F1">
      <w:pPr>
        <w:spacing w:after="120" w:line="240" w:lineRule="auto"/>
        <w:jc w:val="center"/>
        <w:outlineLvl w:val="0"/>
        <w:rPr>
          <w:rFonts w:ascii="Times New Roman" w:eastAsia="Times New Roman" w:hAnsi="Times New Roman" w:cs="Times New Roman"/>
          <w:b/>
          <w:bCs/>
          <w:color w:val="000000"/>
          <w:kern w:val="36"/>
          <w:sz w:val="24"/>
          <w:szCs w:val="24"/>
          <w:lang w:val="pt-BR" w:eastAsia="es-CO"/>
        </w:rPr>
      </w:pPr>
    </w:p>
    <w:p w14:paraId="499510EB" w14:textId="005E698E" w:rsidR="00756A6B" w:rsidRPr="00AB4F72" w:rsidRDefault="00756A6B" w:rsidP="00756A6B">
      <w:pPr>
        <w:shd w:val="clear" w:color="auto" w:fill="FFFFFF"/>
        <w:spacing w:after="0" w:line="480" w:lineRule="auto"/>
        <w:jc w:val="both"/>
        <w:rPr>
          <w:rFonts w:ascii="Times New Roman" w:eastAsia="Times New Roman" w:hAnsi="Times New Roman" w:cs="Times New Roman"/>
          <w:b/>
          <w:bCs/>
          <w:sz w:val="24"/>
          <w:szCs w:val="24"/>
          <w:lang w:eastAsia="es-CO"/>
        </w:rPr>
      </w:pPr>
      <w:r w:rsidRPr="00AB4F72">
        <w:rPr>
          <w:rFonts w:ascii="Times New Roman" w:eastAsia="Times New Roman" w:hAnsi="Times New Roman" w:cs="Times New Roman"/>
          <w:b/>
          <w:bCs/>
          <w:sz w:val="24"/>
          <w:szCs w:val="24"/>
          <w:lang w:eastAsia="es-CO"/>
        </w:rPr>
        <w:lastRenderedPageBreak/>
        <w:t xml:space="preserve">Resumen </w:t>
      </w:r>
    </w:p>
    <w:p w14:paraId="5F0EF750" w14:textId="0F5C3B44" w:rsidR="00F632DC" w:rsidRPr="00AB4F72" w:rsidRDefault="00527CBA" w:rsidP="00F632DC">
      <w:pPr>
        <w:shd w:val="clear" w:color="auto" w:fill="FFFFFF"/>
        <w:spacing w:after="0" w:line="360" w:lineRule="auto"/>
        <w:jc w:val="both"/>
        <w:rPr>
          <w:rFonts w:ascii="Times New Roman" w:eastAsia="Times New Roman" w:hAnsi="Times New Roman" w:cs="Times New Roman"/>
          <w:sz w:val="24"/>
          <w:szCs w:val="24"/>
          <w:lang w:eastAsia="es-CO"/>
        </w:rPr>
      </w:pPr>
      <w:r w:rsidRPr="00AB4F72">
        <w:rPr>
          <w:rFonts w:ascii="Times New Roman" w:hAnsi="Times New Roman" w:cs="Times New Roman"/>
          <w:sz w:val="24"/>
          <w:szCs w:val="24"/>
        </w:rPr>
        <w:t xml:space="preserve">Introducción: </w:t>
      </w:r>
      <w:r w:rsidR="00F632DC" w:rsidRPr="00AB4F72">
        <w:rPr>
          <w:rFonts w:ascii="Times New Roman" w:hAnsi="Times New Roman" w:cs="Times New Roman"/>
          <w:sz w:val="24"/>
          <w:szCs w:val="24"/>
        </w:rPr>
        <w:t xml:space="preserve">Desde que el 24 de febrero de 2022 se iniciara el conflicto entre Rusia y Ucrania ya se están observando consecuencias económicas a nivel mundial. Una de ellas fue el aumento del precio del petróleo BRENT, que cerró ese 24 de febrero en U$ 99,08. </w:t>
      </w:r>
      <w:r w:rsidRPr="00AB4F72">
        <w:rPr>
          <w:rFonts w:ascii="Times New Roman" w:hAnsi="Times New Roman" w:cs="Times New Roman"/>
          <w:sz w:val="24"/>
          <w:szCs w:val="24"/>
        </w:rPr>
        <w:t xml:space="preserve">Metodología: </w:t>
      </w:r>
      <w:r w:rsidR="00F632DC" w:rsidRPr="00AB4F72">
        <w:rPr>
          <w:rFonts w:ascii="Times New Roman" w:eastAsia="Times New Roman" w:hAnsi="Times New Roman" w:cs="Times New Roman"/>
          <w:sz w:val="24"/>
          <w:szCs w:val="24"/>
          <w:lang w:eastAsia="es-CO"/>
        </w:rPr>
        <w:t xml:space="preserve">El trabajo de investigación se realizó mediante un tipo experimental, para desarrollar la investigación se utilizó la base de datos del precio de cierre del barril del Petróleo Brent, durante el período comprendido entre enero el 2 de enero de 2022 al 3 junio de 2022. </w:t>
      </w:r>
      <w:r w:rsidRPr="00AB4F72">
        <w:rPr>
          <w:rFonts w:ascii="Times New Roman" w:eastAsia="Times New Roman" w:hAnsi="Times New Roman" w:cs="Times New Roman"/>
          <w:sz w:val="24"/>
          <w:szCs w:val="24"/>
          <w:lang w:eastAsia="es-CO"/>
        </w:rPr>
        <w:t xml:space="preserve">Resultados: </w:t>
      </w:r>
      <w:r w:rsidRPr="00AB4F72">
        <w:rPr>
          <w:rFonts w:ascii="Times New Roman" w:hAnsi="Times New Roman" w:cs="Times New Roman"/>
          <w:sz w:val="24"/>
          <w:szCs w:val="24"/>
        </w:rPr>
        <w:t>la prueba t-student para muestras independientes arrojaron una Sig. (bilateral) &lt; a 0,000, por lo tanto, rechazamos Ho y aceptamos Ha, es decir se evidencia que hay diferencias altamente significativas entre los promedios del precio de cierre del petróleo Brent antes y durante el conflicto en Ucrania. Conclusión: El precio del petróleo Brent sigue cautivo de fuertes oscilaciones como consecuencia de la guerra de Rusia en Ucrania. El primer día de la invasión a Ucrania el aumento fue del 2,31% con un precio de cierre del barril de 99,08 USD y cien días después del inicio del conflicto el 3 de junio de 2022 el precio del barril Brent aumento un 20,8%, y cotizó a 119,72 dólares por barril.</w:t>
      </w:r>
    </w:p>
    <w:p w14:paraId="0344ECC0" w14:textId="1C458C53" w:rsidR="00756A6B" w:rsidRDefault="00157449" w:rsidP="000B0E7D">
      <w:pPr>
        <w:spacing w:line="360" w:lineRule="auto"/>
        <w:rPr>
          <w:rFonts w:ascii="Times New Roman" w:hAnsi="Times New Roman" w:cs="Times New Roman"/>
          <w:sz w:val="24"/>
          <w:szCs w:val="24"/>
        </w:rPr>
      </w:pPr>
      <w:r w:rsidRPr="00AB4F72">
        <w:rPr>
          <w:rFonts w:ascii="Times New Roman" w:hAnsi="Times New Roman" w:cs="Times New Roman"/>
          <w:b/>
          <w:bCs/>
          <w:sz w:val="24"/>
          <w:szCs w:val="24"/>
        </w:rPr>
        <w:t>Palabras claves:</w:t>
      </w:r>
      <w:r w:rsidRPr="00AB4F72">
        <w:rPr>
          <w:rFonts w:ascii="Times New Roman" w:hAnsi="Times New Roman" w:cs="Times New Roman"/>
          <w:sz w:val="24"/>
          <w:szCs w:val="24"/>
        </w:rPr>
        <w:t xml:space="preserve"> petróleo Brent, regresión lineal, </w:t>
      </w:r>
      <w:r w:rsidR="0048676C" w:rsidRPr="00AB4F72">
        <w:rPr>
          <w:rFonts w:ascii="Times New Roman" w:hAnsi="Times New Roman" w:cs="Times New Roman"/>
          <w:sz w:val="24"/>
          <w:szCs w:val="24"/>
        </w:rPr>
        <w:t>coeficiente de determinación.</w:t>
      </w:r>
    </w:p>
    <w:p w14:paraId="33251F8C" w14:textId="0ED9487A" w:rsidR="00686CA6" w:rsidRPr="00101C9A" w:rsidRDefault="00686CA6" w:rsidP="00101C9A">
      <w:pPr>
        <w:spacing w:after="0" w:line="240" w:lineRule="auto"/>
        <w:rPr>
          <w:rFonts w:ascii="Times New Roman" w:hAnsi="Times New Roman" w:cs="Times New Roman"/>
          <w:sz w:val="24"/>
          <w:szCs w:val="24"/>
          <w:shd w:val="clear" w:color="auto" w:fill="FFFFFF"/>
        </w:rPr>
      </w:pPr>
      <w:bookmarkStart w:id="0" w:name="_Hlk109205781"/>
      <w:r w:rsidRPr="00101C9A">
        <w:rPr>
          <w:rFonts w:ascii="Times New Roman" w:hAnsi="Times New Roman" w:cs="Times New Roman"/>
          <w:b/>
          <w:bCs/>
          <w:sz w:val="24"/>
          <w:szCs w:val="24"/>
          <w:shd w:val="clear" w:color="auto" w:fill="FFFFFF"/>
        </w:rPr>
        <w:t>Clasificación JEL</w:t>
      </w:r>
      <w:r w:rsidRPr="00101C9A">
        <w:rPr>
          <w:rFonts w:ascii="Times New Roman" w:hAnsi="Times New Roman" w:cs="Times New Roman"/>
          <w:sz w:val="24"/>
          <w:szCs w:val="24"/>
          <w:shd w:val="clear" w:color="auto" w:fill="FFFFFF"/>
        </w:rPr>
        <w:t>:</w:t>
      </w:r>
      <w:r w:rsidR="00966CC8" w:rsidRPr="00101C9A">
        <w:rPr>
          <w:rFonts w:ascii="Times New Roman" w:hAnsi="Times New Roman" w:cs="Times New Roman"/>
          <w:sz w:val="24"/>
          <w:szCs w:val="24"/>
          <w:shd w:val="clear" w:color="auto" w:fill="FFFFFF"/>
        </w:rPr>
        <w:t xml:space="preserve"> C2</w:t>
      </w:r>
      <w:r w:rsidR="00101C9A" w:rsidRPr="00101C9A">
        <w:rPr>
          <w:rFonts w:ascii="Times New Roman" w:hAnsi="Times New Roman" w:cs="Times New Roman"/>
          <w:sz w:val="24"/>
          <w:szCs w:val="24"/>
          <w:shd w:val="clear" w:color="auto" w:fill="FFFFFF"/>
        </w:rPr>
        <w:t>0</w:t>
      </w:r>
      <w:r w:rsidR="00966CC8" w:rsidRPr="00101C9A">
        <w:rPr>
          <w:rFonts w:ascii="Times New Roman" w:hAnsi="Times New Roman" w:cs="Times New Roman"/>
          <w:sz w:val="24"/>
          <w:szCs w:val="24"/>
          <w:shd w:val="clear" w:color="auto" w:fill="FFFFFF"/>
        </w:rPr>
        <w:t>;</w:t>
      </w:r>
      <w:r w:rsidR="00101C9A">
        <w:rPr>
          <w:rFonts w:ascii="Times New Roman" w:hAnsi="Times New Roman" w:cs="Times New Roman"/>
          <w:sz w:val="24"/>
          <w:szCs w:val="24"/>
          <w:shd w:val="clear" w:color="auto" w:fill="FFFFFF"/>
        </w:rPr>
        <w:t xml:space="preserve"> </w:t>
      </w:r>
      <w:r w:rsidR="00101C9A" w:rsidRPr="00101C9A">
        <w:rPr>
          <w:rFonts w:ascii="Times New Roman" w:hAnsi="Times New Roman" w:cs="Times New Roman"/>
          <w:sz w:val="24"/>
          <w:szCs w:val="24"/>
          <w:shd w:val="clear" w:color="auto" w:fill="FFFFFF"/>
        </w:rPr>
        <w:t>C21; C22</w:t>
      </w:r>
      <w:r w:rsidR="00966CC8" w:rsidRPr="00101C9A">
        <w:rPr>
          <w:rFonts w:ascii="Times New Roman" w:hAnsi="Times New Roman" w:cs="Times New Roman"/>
          <w:sz w:val="24"/>
          <w:szCs w:val="24"/>
          <w:shd w:val="clear" w:color="auto" w:fill="FFFFFF"/>
        </w:rPr>
        <w:t xml:space="preserve"> </w:t>
      </w:r>
    </w:p>
    <w:p w14:paraId="5C292E63" w14:textId="77777777" w:rsidR="00101C9A" w:rsidRPr="00CE4BD4" w:rsidRDefault="00686CA6" w:rsidP="00101C9A">
      <w:pPr>
        <w:shd w:val="clear" w:color="auto" w:fill="FFFFFF"/>
        <w:rPr>
          <w:rFonts w:ascii="Times New Roman" w:eastAsia="Times New Roman" w:hAnsi="Times New Roman" w:cs="Times New Roman"/>
          <w:sz w:val="24"/>
          <w:szCs w:val="24"/>
          <w:lang w:eastAsia="es-CO"/>
        </w:rPr>
      </w:pPr>
      <w:r w:rsidRPr="00CE4BD4">
        <w:rPr>
          <w:rFonts w:ascii="Times New Roman" w:hAnsi="Times New Roman" w:cs="Times New Roman"/>
          <w:b/>
          <w:bCs/>
          <w:sz w:val="24"/>
          <w:szCs w:val="24"/>
          <w:shd w:val="clear" w:color="auto" w:fill="FFFFFF"/>
        </w:rPr>
        <w:t>MSC2010</w:t>
      </w:r>
      <w:r w:rsidRPr="00CE4BD4">
        <w:rPr>
          <w:rFonts w:ascii="Times New Roman" w:hAnsi="Times New Roman" w:cs="Times New Roman"/>
          <w:sz w:val="24"/>
          <w:szCs w:val="24"/>
          <w:shd w:val="clear" w:color="auto" w:fill="FFFFFF"/>
        </w:rPr>
        <w:t>:</w:t>
      </w:r>
      <w:r w:rsidR="00101C9A" w:rsidRPr="00CE4BD4">
        <w:rPr>
          <w:rFonts w:ascii="Times New Roman" w:hAnsi="Times New Roman" w:cs="Times New Roman"/>
          <w:sz w:val="24"/>
          <w:szCs w:val="24"/>
          <w:shd w:val="clear" w:color="auto" w:fill="FFFFFF"/>
        </w:rPr>
        <w:t xml:space="preserve"> </w:t>
      </w:r>
      <w:r w:rsidR="00101C9A" w:rsidRPr="00CE4BD4">
        <w:rPr>
          <w:rFonts w:ascii="Times New Roman" w:eastAsia="Times New Roman" w:hAnsi="Times New Roman" w:cs="Times New Roman"/>
          <w:sz w:val="25"/>
          <w:szCs w:val="25"/>
          <w:lang w:eastAsia="es-CO"/>
        </w:rPr>
        <w:t>91B82; 91B84.</w:t>
      </w:r>
    </w:p>
    <w:bookmarkEnd w:id="0"/>
    <w:p w14:paraId="5CFCAFEF" w14:textId="603CC3BC" w:rsidR="00F506EB" w:rsidRPr="00AB4F72" w:rsidRDefault="00F506EB" w:rsidP="00135B46">
      <w:pPr>
        <w:spacing w:line="360" w:lineRule="auto"/>
        <w:rPr>
          <w:rFonts w:ascii="Times New Roman" w:hAnsi="Times New Roman" w:cs="Times New Roman"/>
          <w:b/>
          <w:bCs/>
          <w:sz w:val="24"/>
          <w:szCs w:val="24"/>
          <w:lang w:val="en-US"/>
        </w:rPr>
      </w:pPr>
      <w:r w:rsidRPr="00AB4F72">
        <w:rPr>
          <w:rFonts w:ascii="Times New Roman" w:hAnsi="Times New Roman" w:cs="Times New Roman"/>
          <w:b/>
          <w:bCs/>
          <w:sz w:val="24"/>
          <w:szCs w:val="24"/>
          <w:lang w:val="en-US"/>
        </w:rPr>
        <w:t>Abstract</w:t>
      </w:r>
    </w:p>
    <w:p w14:paraId="51C17FFB" w14:textId="7AF869FD" w:rsidR="00F506EB" w:rsidRPr="00AB4F72" w:rsidRDefault="00F506EB" w:rsidP="00F506EB">
      <w:pPr>
        <w:spacing w:line="360" w:lineRule="auto"/>
        <w:jc w:val="both"/>
        <w:rPr>
          <w:rFonts w:ascii="Times New Roman" w:hAnsi="Times New Roman" w:cs="Times New Roman"/>
          <w:sz w:val="24"/>
          <w:szCs w:val="24"/>
          <w:lang w:val="en-US"/>
        </w:rPr>
      </w:pPr>
      <w:r w:rsidRPr="00AB4F72">
        <w:rPr>
          <w:rFonts w:ascii="Times New Roman" w:hAnsi="Times New Roman" w:cs="Times New Roman"/>
          <w:sz w:val="24"/>
          <w:szCs w:val="24"/>
          <w:lang w:val="en-US"/>
        </w:rPr>
        <w:t>Introduction: Since the conflict between Russia and Ukraine began on February 24, 2022, economic consequences are already being observed worldwide. One of them was the increase in the price of BRENT oil, which closed on February 24 at US$ 99.08. Methodology: The research work was carried out using an experimental type, to develop the research, the database of the closing price of a barrel of Brent Oil was used, during the period between January 2, 2022, and June 3, 2022. Results: the t-student test for independent samples yielded a Sig. (bilateral) &lt; 0.000, therefore, we reject Ho and accept Ha, that is, it is evident that there are highly significant differences between the averages of the oil closing price Brent before and during the conflict in Ukraine. Conclusion: The price of Brent oil continues to be subject to strong fluctuations because of Russia's war in Ukraine. On the first day of the invasion of Ukraine, the increase was 2.31% with a closing price of a barrel of 99.08 USD and one hundred days after the start of the conflict on June 3, 2022, the price of a Brent barrel increased by 20 .8% and traded at 119.72 dollars per barrel.</w:t>
      </w:r>
    </w:p>
    <w:p w14:paraId="5A45DF47" w14:textId="64F6565C" w:rsidR="00F506EB" w:rsidRPr="00AB4F72" w:rsidRDefault="00F506EB" w:rsidP="00F506EB">
      <w:pPr>
        <w:spacing w:line="360" w:lineRule="auto"/>
        <w:jc w:val="both"/>
        <w:rPr>
          <w:rFonts w:ascii="Times New Roman" w:hAnsi="Times New Roman" w:cs="Times New Roman"/>
          <w:sz w:val="24"/>
          <w:szCs w:val="24"/>
          <w:lang w:val="en-US"/>
        </w:rPr>
      </w:pPr>
      <w:r w:rsidRPr="00AB4F72">
        <w:rPr>
          <w:rFonts w:ascii="Times New Roman" w:hAnsi="Times New Roman" w:cs="Times New Roman"/>
          <w:sz w:val="24"/>
          <w:szCs w:val="24"/>
          <w:lang w:val="en-US"/>
        </w:rPr>
        <w:t>Key words: Brent oil, linear regression, coefficient of determination.</w:t>
      </w:r>
    </w:p>
    <w:p w14:paraId="53910C14" w14:textId="4A82AA7C" w:rsidR="00F506EB" w:rsidRPr="00AB4F72" w:rsidRDefault="00F506EB" w:rsidP="00F506EB">
      <w:pPr>
        <w:spacing w:line="360" w:lineRule="auto"/>
        <w:jc w:val="both"/>
        <w:rPr>
          <w:rFonts w:ascii="Times New Roman" w:hAnsi="Times New Roman" w:cs="Times New Roman"/>
          <w:b/>
          <w:bCs/>
          <w:sz w:val="24"/>
          <w:szCs w:val="24"/>
          <w:lang w:val="pt-BR"/>
        </w:rPr>
      </w:pPr>
      <w:r w:rsidRPr="00AB4F72">
        <w:rPr>
          <w:rFonts w:ascii="Times New Roman" w:hAnsi="Times New Roman" w:cs="Times New Roman"/>
          <w:b/>
          <w:bCs/>
          <w:sz w:val="24"/>
          <w:szCs w:val="24"/>
          <w:lang w:val="pt-BR"/>
        </w:rPr>
        <w:t>Resumo</w:t>
      </w:r>
    </w:p>
    <w:p w14:paraId="52A901EF" w14:textId="77777777" w:rsidR="00F506EB" w:rsidRPr="00AB4F72" w:rsidRDefault="00F506EB" w:rsidP="00F506EB">
      <w:pPr>
        <w:spacing w:line="360" w:lineRule="auto"/>
        <w:jc w:val="both"/>
        <w:rPr>
          <w:rFonts w:ascii="Times New Roman" w:hAnsi="Times New Roman" w:cs="Times New Roman"/>
          <w:sz w:val="24"/>
          <w:szCs w:val="24"/>
          <w:lang w:val="pt-BR"/>
        </w:rPr>
      </w:pPr>
      <w:r w:rsidRPr="00AB4F72">
        <w:rPr>
          <w:rFonts w:ascii="Times New Roman" w:hAnsi="Times New Roman" w:cs="Times New Roman"/>
          <w:sz w:val="24"/>
          <w:szCs w:val="24"/>
          <w:lang w:val="pt-BR"/>
        </w:rPr>
        <w:t>Introdução: Desde o início do conflito entre Rússia e Ucrânia em 24 de fevereiro de 2022, consequências econômicas já estão sendo observadas em todo o mundo. Um deles foi o aumento do preço do petróleo BRENT, que fechou em 24 de fevereiro a US$ 99,08. Metodologia: O trabalho de pesquisa foi realizado do tipo experimental, para desenvolver a pesquisa foi utilizada a base de dados do preço de fechamento do barril de Petróleo Brent, durante o período entre 2 de janeiro de 2022 e 3 de junho de 2022. Resultados: a O teste t-student para amostras independentes produziu um Sig. Brent (bilateral) antes e durante o conflito na Ucrânia. Conclusão: O preço do petróleo Brent continua sujeito a fortes flutuações como resultado da guerra da Rússia na Ucrânia. No primeiro dia da invasão da Ucrânia, o aumento foi de 2,31% com um preço de fechamento do barril de 99,08 USD e cem dias após o início do conflito em 3 de junho de 2022, o preço do barril Brent aumentou em 20 0,8%, e negociado a 119,72 dólares por barril.</w:t>
      </w:r>
    </w:p>
    <w:p w14:paraId="11D32D71" w14:textId="38BC0365" w:rsidR="00F506EB" w:rsidRPr="00AB4F72" w:rsidRDefault="00F506EB" w:rsidP="00F506EB">
      <w:pPr>
        <w:spacing w:line="360" w:lineRule="auto"/>
        <w:jc w:val="both"/>
        <w:rPr>
          <w:rFonts w:ascii="Times New Roman" w:hAnsi="Times New Roman" w:cs="Times New Roman"/>
          <w:sz w:val="24"/>
          <w:szCs w:val="24"/>
          <w:lang w:val="pt-BR"/>
        </w:rPr>
      </w:pPr>
      <w:r w:rsidRPr="00AB4F72">
        <w:rPr>
          <w:rFonts w:ascii="Times New Roman" w:hAnsi="Times New Roman" w:cs="Times New Roman"/>
          <w:sz w:val="24"/>
          <w:szCs w:val="24"/>
          <w:lang w:val="pt-BR"/>
        </w:rPr>
        <w:t>Palavras-chave: óleo Brent, regressão linear, coeficiente de determinação.</w:t>
      </w:r>
    </w:p>
    <w:p w14:paraId="0A394FE6" w14:textId="64F65C75" w:rsidR="00182D29" w:rsidRPr="00AB4F72" w:rsidRDefault="00437BF5" w:rsidP="00135B46">
      <w:pPr>
        <w:spacing w:line="360" w:lineRule="auto"/>
        <w:rPr>
          <w:rFonts w:ascii="Times New Roman" w:hAnsi="Times New Roman" w:cs="Times New Roman"/>
          <w:b/>
          <w:bCs/>
          <w:sz w:val="24"/>
          <w:szCs w:val="24"/>
        </w:rPr>
      </w:pPr>
      <w:r w:rsidRPr="00AB4F72">
        <w:rPr>
          <w:rFonts w:ascii="Times New Roman" w:hAnsi="Times New Roman" w:cs="Times New Roman"/>
          <w:b/>
          <w:bCs/>
          <w:sz w:val="24"/>
          <w:szCs w:val="24"/>
        </w:rPr>
        <w:t>Introducción</w:t>
      </w:r>
    </w:p>
    <w:p w14:paraId="6905D741" w14:textId="25DDD931" w:rsidR="00437BF5" w:rsidRPr="00AB4F72" w:rsidRDefault="00437BF5" w:rsidP="00135B46">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Desde que el 24 de febrero de 2022 se iniciara el conflicto entre Rusia y Ucrania ya se están observando consecuencias económicas a nivel mundial. </w:t>
      </w:r>
      <w:r w:rsidR="005F674D" w:rsidRPr="00AB4F72">
        <w:rPr>
          <w:rFonts w:ascii="Times New Roman" w:hAnsi="Times New Roman" w:cs="Times New Roman"/>
          <w:sz w:val="24"/>
          <w:szCs w:val="24"/>
        </w:rPr>
        <w:t>Una de ellas fue el aumento del precio del petróleo BRENT, que cerró ese 24 de febrero en U$ 99,08, est</w:t>
      </w:r>
      <w:r w:rsidR="007521DD" w:rsidRPr="00AB4F72">
        <w:rPr>
          <w:rFonts w:ascii="Times New Roman" w:hAnsi="Times New Roman" w:cs="Times New Roman"/>
          <w:sz w:val="24"/>
          <w:szCs w:val="24"/>
        </w:rPr>
        <w:t>o</w:t>
      </w:r>
      <w:r w:rsidR="005F674D" w:rsidRPr="00AB4F72">
        <w:rPr>
          <w:rFonts w:ascii="Times New Roman" w:hAnsi="Times New Roman" w:cs="Times New Roman"/>
          <w:sz w:val="24"/>
          <w:szCs w:val="24"/>
        </w:rPr>
        <w:t xml:space="preserve"> debido por el temor que la crisis interrumpiera el suministro global. (BBC, 2022).</w:t>
      </w:r>
    </w:p>
    <w:p w14:paraId="5748EB3F" w14:textId="0F239F07" w:rsidR="007521DD" w:rsidRPr="00AB4F72" w:rsidRDefault="007521DD" w:rsidP="00135B46">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El 28 de febrero el precio del barril de petróleo B</w:t>
      </w:r>
      <w:r w:rsidR="0058497D" w:rsidRPr="00AB4F72">
        <w:rPr>
          <w:rFonts w:ascii="Times New Roman" w:hAnsi="Times New Roman" w:cs="Times New Roman"/>
          <w:sz w:val="24"/>
          <w:szCs w:val="24"/>
        </w:rPr>
        <w:t>rent</w:t>
      </w:r>
      <w:r w:rsidRPr="00AB4F72">
        <w:rPr>
          <w:rFonts w:ascii="Times New Roman" w:hAnsi="Times New Roman" w:cs="Times New Roman"/>
          <w:sz w:val="24"/>
          <w:szCs w:val="24"/>
        </w:rPr>
        <w:t xml:space="preserve"> alcanzó los U$ 103,08, hasta alcanzar los </w:t>
      </w:r>
      <w:r w:rsidR="00CC5C07" w:rsidRPr="00AB4F72">
        <w:rPr>
          <w:rFonts w:ascii="Times New Roman" w:hAnsi="Times New Roman" w:cs="Times New Roman"/>
          <w:sz w:val="24"/>
          <w:szCs w:val="24"/>
        </w:rPr>
        <w:t xml:space="preserve">U$ 123,21 el 7 de marzo de 2022. </w:t>
      </w:r>
      <w:r w:rsidRPr="00AB4F72">
        <w:rPr>
          <w:rFonts w:ascii="Times New Roman" w:hAnsi="Times New Roman" w:cs="Times New Roman"/>
          <w:sz w:val="24"/>
          <w:szCs w:val="24"/>
        </w:rPr>
        <w:t>(Investing,</w:t>
      </w:r>
      <w:r w:rsidR="00523A90" w:rsidRPr="00AB4F72">
        <w:rPr>
          <w:rFonts w:ascii="Times New Roman" w:hAnsi="Times New Roman" w:cs="Times New Roman"/>
          <w:sz w:val="24"/>
          <w:szCs w:val="24"/>
        </w:rPr>
        <w:t xml:space="preserve"> </w:t>
      </w:r>
      <w:r w:rsidRPr="00AB4F72">
        <w:rPr>
          <w:rFonts w:ascii="Times New Roman" w:hAnsi="Times New Roman" w:cs="Times New Roman"/>
          <w:sz w:val="24"/>
          <w:szCs w:val="24"/>
        </w:rPr>
        <w:t>2022</w:t>
      </w:r>
      <w:r w:rsidR="003061AE" w:rsidRPr="00AB4F72">
        <w:rPr>
          <w:rFonts w:ascii="Times New Roman" w:hAnsi="Times New Roman" w:cs="Times New Roman"/>
          <w:sz w:val="24"/>
          <w:szCs w:val="24"/>
        </w:rPr>
        <w:t>a</w:t>
      </w:r>
      <w:r w:rsidRPr="00AB4F72">
        <w:rPr>
          <w:rFonts w:ascii="Times New Roman" w:hAnsi="Times New Roman" w:cs="Times New Roman"/>
          <w:sz w:val="24"/>
          <w:szCs w:val="24"/>
        </w:rPr>
        <w:t>)</w:t>
      </w:r>
      <w:r w:rsidR="00947E48" w:rsidRPr="00AB4F72">
        <w:rPr>
          <w:rFonts w:ascii="Times New Roman" w:hAnsi="Times New Roman" w:cs="Times New Roman"/>
          <w:sz w:val="24"/>
          <w:szCs w:val="24"/>
        </w:rPr>
        <w:t>, algo que no ocurría desde 2014 (Fariza, 2022</w:t>
      </w:r>
      <w:r w:rsidR="00030AA0" w:rsidRPr="00AB4F72">
        <w:rPr>
          <w:rFonts w:ascii="Times New Roman" w:hAnsi="Times New Roman" w:cs="Times New Roman"/>
          <w:sz w:val="24"/>
          <w:szCs w:val="24"/>
        </w:rPr>
        <w:t>).</w:t>
      </w:r>
      <w:r w:rsidR="00CC5C07" w:rsidRPr="00AB4F72">
        <w:rPr>
          <w:rFonts w:ascii="Times New Roman" w:hAnsi="Times New Roman" w:cs="Times New Roman"/>
          <w:sz w:val="24"/>
          <w:szCs w:val="24"/>
        </w:rPr>
        <w:t xml:space="preserve"> </w:t>
      </w:r>
      <w:r w:rsidR="0075488F" w:rsidRPr="00AB4F72">
        <w:rPr>
          <w:rFonts w:ascii="Times New Roman" w:hAnsi="Times New Roman" w:cs="Times New Roman"/>
          <w:spacing w:val="-2"/>
          <w:sz w:val="24"/>
          <w:szCs w:val="24"/>
          <w:shd w:val="clear" w:color="auto" w:fill="FFFFFF"/>
        </w:rPr>
        <w:t>Este mismo día el barril de Brent, de referencia para Europa, ha llegado a situarse cerca de los 140 dólares, rozando así los máximos históricos alcanzados en el 2008</w:t>
      </w:r>
      <w:r w:rsidR="00527DFF" w:rsidRPr="00AB4F72">
        <w:rPr>
          <w:rFonts w:ascii="Times New Roman" w:hAnsi="Times New Roman" w:cs="Times New Roman"/>
          <w:color w:val="222222"/>
          <w:spacing w:val="-2"/>
          <w:sz w:val="24"/>
          <w:szCs w:val="24"/>
          <w:shd w:val="clear" w:color="auto" w:fill="FFFFFF"/>
        </w:rPr>
        <w:t xml:space="preserve"> (LA VANGUARDIA, 2022). </w:t>
      </w:r>
      <w:r w:rsidR="0075488F" w:rsidRPr="00AB4F72">
        <w:rPr>
          <w:rFonts w:ascii="Times New Roman" w:hAnsi="Times New Roman" w:cs="Times New Roman"/>
          <w:color w:val="222222"/>
          <w:spacing w:val="-2"/>
          <w:sz w:val="24"/>
          <w:szCs w:val="24"/>
          <w:shd w:val="clear" w:color="auto" w:fill="FFFFFF"/>
        </w:rPr>
        <w:t> </w:t>
      </w:r>
      <w:r w:rsidR="00CC5C07" w:rsidRPr="00AB4F72">
        <w:rPr>
          <w:rFonts w:ascii="Times New Roman" w:hAnsi="Times New Roman" w:cs="Times New Roman"/>
          <w:sz w:val="24"/>
          <w:szCs w:val="24"/>
        </w:rPr>
        <w:t xml:space="preserve">Esta elevada alza se explica también </w:t>
      </w:r>
      <w:r w:rsidR="00CC5C07" w:rsidRPr="00AB4F72">
        <w:rPr>
          <w:rFonts w:ascii="Times New Roman" w:hAnsi="Times New Roman" w:cs="Times New Roman"/>
          <w:sz w:val="24"/>
          <w:szCs w:val="24"/>
          <w:shd w:val="clear" w:color="auto" w:fill="FDFDFD"/>
        </w:rPr>
        <w:t>por las sanciones que Estados Unidos, Reino Unido y la Unión Europea le han impuesto a Rusia en los últimos días. Occidente ha indicado que están proyectando sanciones "más duras", lo que eventualmente podría afectar el suministro de crudo proveniente de este país.</w:t>
      </w:r>
      <w:r w:rsidR="00CC5C07" w:rsidRPr="00AB4F72">
        <w:rPr>
          <w:rFonts w:ascii="Times New Roman" w:hAnsi="Times New Roman" w:cs="Times New Roman"/>
          <w:sz w:val="24"/>
          <w:szCs w:val="24"/>
        </w:rPr>
        <w:t xml:space="preserve"> (BBC, 2022)</w:t>
      </w:r>
      <w:r w:rsidR="003D34D1" w:rsidRPr="00AB4F72">
        <w:rPr>
          <w:rFonts w:ascii="Times New Roman" w:hAnsi="Times New Roman" w:cs="Times New Roman"/>
          <w:sz w:val="24"/>
          <w:szCs w:val="24"/>
        </w:rPr>
        <w:t>, (SEMANA, 2022).</w:t>
      </w:r>
    </w:p>
    <w:p w14:paraId="31605223" w14:textId="34E30AF9" w:rsidR="0044441A" w:rsidRPr="00AB4F72" w:rsidRDefault="0044441A" w:rsidP="00135B46">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shd w:val="clear" w:color="auto" w:fill="FDFDFD"/>
        </w:rPr>
        <w:t xml:space="preserve">Entre las posibles medidas, </w:t>
      </w:r>
      <w:r w:rsidR="00C411AA" w:rsidRPr="00AB4F72">
        <w:rPr>
          <w:rFonts w:ascii="Times New Roman" w:hAnsi="Times New Roman" w:cs="Times New Roman"/>
          <w:sz w:val="24"/>
          <w:szCs w:val="24"/>
          <w:shd w:val="clear" w:color="auto" w:fill="FDFDFD"/>
        </w:rPr>
        <w:t>toma fuerza el</w:t>
      </w:r>
      <w:r w:rsidRPr="00AB4F72">
        <w:rPr>
          <w:rFonts w:ascii="Times New Roman" w:hAnsi="Times New Roman" w:cs="Times New Roman"/>
          <w:sz w:val="24"/>
          <w:szCs w:val="24"/>
          <w:shd w:val="clear" w:color="auto" w:fill="FDFDFD"/>
        </w:rPr>
        <w:t xml:space="preserve"> prohibir que países y empresas compren petróleo a gigantes energéticos rusos como Gazprom o Rosneft</w:t>
      </w:r>
      <w:r w:rsidRPr="00AB4F72">
        <w:rPr>
          <w:rFonts w:ascii="Times New Roman" w:hAnsi="Times New Roman" w:cs="Times New Roman"/>
          <w:b/>
          <w:bCs/>
          <w:sz w:val="24"/>
          <w:szCs w:val="24"/>
          <w:shd w:val="clear" w:color="auto" w:fill="FDFDFD"/>
        </w:rPr>
        <w:t xml:space="preserve">. </w:t>
      </w:r>
      <w:r w:rsidRPr="00AB4F72">
        <w:rPr>
          <w:rFonts w:ascii="Times New Roman" w:hAnsi="Times New Roman" w:cs="Times New Roman"/>
          <w:sz w:val="24"/>
          <w:szCs w:val="24"/>
          <w:shd w:val="clear" w:color="auto" w:fill="FDFDFD"/>
        </w:rPr>
        <w:t xml:space="preserve">Rusia es un actor </w:t>
      </w:r>
      <w:r w:rsidR="00C411AA" w:rsidRPr="00AB4F72">
        <w:rPr>
          <w:rFonts w:ascii="Times New Roman" w:hAnsi="Times New Roman" w:cs="Times New Roman"/>
          <w:sz w:val="24"/>
          <w:szCs w:val="24"/>
          <w:shd w:val="clear" w:color="auto" w:fill="FDFDFD"/>
        </w:rPr>
        <w:t>transcendental</w:t>
      </w:r>
      <w:r w:rsidRPr="00AB4F72">
        <w:rPr>
          <w:rFonts w:ascii="Times New Roman" w:hAnsi="Times New Roman" w:cs="Times New Roman"/>
          <w:sz w:val="24"/>
          <w:szCs w:val="24"/>
          <w:shd w:val="clear" w:color="auto" w:fill="FDFDFD"/>
        </w:rPr>
        <w:t xml:space="preserve"> en la producción de petróleo: es el segundo mayor exportador después de Arabia Saudita.</w:t>
      </w:r>
      <w:r w:rsidR="00C411AA" w:rsidRPr="00AB4F72">
        <w:rPr>
          <w:rFonts w:ascii="Times New Roman" w:hAnsi="Times New Roman" w:cs="Times New Roman"/>
          <w:sz w:val="24"/>
          <w:szCs w:val="24"/>
        </w:rPr>
        <w:t xml:space="preserve"> (BBC, 2022)</w:t>
      </w:r>
      <w:r w:rsidR="00030AA0" w:rsidRPr="00AB4F72">
        <w:rPr>
          <w:rFonts w:ascii="Times New Roman" w:hAnsi="Times New Roman" w:cs="Times New Roman"/>
          <w:sz w:val="24"/>
          <w:szCs w:val="24"/>
        </w:rPr>
        <w:t xml:space="preserve">, (Ruiz, 2022). </w:t>
      </w:r>
    </w:p>
    <w:p w14:paraId="73F72FE2" w14:textId="219FDD9D" w:rsidR="00442498" w:rsidRPr="00AB4F72" w:rsidRDefault="003061AE" w:rsidP="00442498">
      <w:pPr>
        <w:pStyle w:val="NormalWeb"/>
        <w:shd w:val="clear" w:color="auto" w:fill="FFFFFF"/>
        <w:spacing w:before="0" w:beforeAutospacing="0" w:after="0" w:afterAutospacing="0" w:line="360" w:lineRule="auto"/>
        <w:jc w:val="both"/>
      </w:pPr>
      <w:r w:rsidRPr="00AB4F72">
        <w:t xml:space="preserve">Según Investing, </w:t>
      </w:r>
      <w:r w:rsidR="00FF08F2" w:rsidRPr="00AB4F72">
        <w:t>(</w:t>
      </w:r>
      <w:r w:rsidRPr="00AB4F72">
        <w:t>2022b</w:t>
      </w:r>
      <w:r w:rsidR="00FF08F2" w:rsidRPr="00AB4F72">
        <w:t>)</w:t>
      </w:r>
      <w:r w:rsidRPr="00AB4F72">
        <w:t>, e</w:t>
      </w:r>
      <w:r w:rsidR="00442498" w:rsidRPr="00AB4F72">
        <w:t xml:space="preserve">l precio del barril de petróleo Brent para entrega en mayo </w:t>
      </w:r>
      <w:r w:rsidRPr="00AB4F72">
        <w:t>finalizó</w:t>
      </w:r>
      <w:r w:rsidR="00442498" w:rsidRPr="00AB4F72">
        <w:t xml:space="preserve"> </w:t>
      </w:r>
      <w:r w:rsidR="005A46BC" w:rsidRPr="00AB4F72">
        <w:t>el 25 de marzo de 2022</w:t>
      </w:r>
      <w:r w:rsidR="00442498" w:rsidRPr="00AB4F72">
        <w:t xml:space="preserve"> en el mercado de futuros de Londres en 119,77 dólares, un 1,51 % más que al </w:t>
      </w:r>
      <w:r w:rsidRPr="00AB4F72">
        <w:t>finiquitar</w:t>
      </w:r>
      <w:r w:rsidR="00442498" w:rsidRPr="00AB4F72">
        <w:t xml:space="preserve"> la sesión anterior.</w:t>
      </w:r>
      <w:r w:rsidRPr="00AB4F72">
        <w:t xml:space="preserve"> </w:t>
      </w:r>
      <w:r w:rsidR="00442498" w:rsidRPr="00AB4F72">
        <w:t xml:space="preserve">El precio del Brent </w:t>
      </w:r>
      <w:r w:rsidRPr="00AB4F72">
        <w:t>despuntó</w:t>
      </w:r>
      <w:r w:rsidR="00442498" w:rsidRPr="00AB4F72">
        <w:t xml:space="preserve"> al término de una semana en la que la </w:t>
      </w:r>
      <w:r w:rsidRPr="00AB4F72">
        <w:t>inquietud sobre</w:t>
      </w:r>
      <w:r w:rsidR="00442498" w:rsidRPr="00AB4F72">
        <w:t xml:space="preserve"> los efectos de la guerra en Ucrania ha </w:t>
      </w:r>
      <w:r w:rsidRPr="00AB4F72">
        <w:t>evidenciado</w:t>
      </w:r>
      <w:r w:rsidR="00442498" w:rsidRPr="00AB4F72">
        <w:t xml:space="preserve"> las negociaciones en el mercado del petróleo.</w:t>
      </w:r>
      <w:r w:rsidRPr="00AB4F72">
        <w:t xml:space="preserve"> </w:t>
      </w:r>
    </w:p>
    <w:p w14:paraId="6CF4E756" w14:textId="7A26573C" w:rsidR="00442498" w:rsidRPr="00AB4F72" w:rsidRDefault="00442498" w:rsidP="00442498">
      <w:pPr>
        <w:pStyle w:val="NormalWeb"/>
        <w:shd w:val="clear" w:color="auto" w:fill="FFFFFF"/>
        <w:spacing w:before="225" w:beforeAutospacing="0" w:after="0" w:afterAutospacing="0" w:line="360" w:lineRule="auto"/>
        <w:jc w:val="both"/>
      </w:pPr>
      <w:r w:rsidRPr="00AB4F72">
        <w:t xml:space="preserve">Las </w:t>
      </w:r>
      <w:r w:rsidR="003061AE" w:rsidRPr="00AB4F72">
        <w:t>conjeturas</w:t>
      </w:r>
      <w:r w:rsidRPr="00AB4F72">
        <w:t xml:space="preserve"> sobre la destrucción de demanda </w:t>
      </w:r>
      <w:r w:rsidR="003061AE" w:rsidRPr="00AB4F72">
        <w:t>inducida</w:t>
      </w:r>
      <w:r w:rsidRPr="00AB4F72">
        <w:t xml:space="preserve"> por el </w:t>
      </w:r>
      <w:r w:rsidR="00AD6589" w:rsidRPr="00AB4F72">
        <w:t>esplendor</w:t>
      </w:r>
      <w:r w:rsidRPr="00AB4F72">
        <w:t xml:space="preserve"> de la cotización del crudo y la negativa de </w:t>
      </w:r>
      <w:r w:rsidR="00AD6589" w:rsidRPr="00AB4F72">
        <w:t>varios</w:t>
      </w:r>
      <w:r w:rsidRPr="00AB4F72">
        <w:t xml:space="preserve"> países europeos a vetar de inmediato las importaciones de hidrocarburos rusos han </w:t>
      </w:r>
      <w:r w:rsidR="00AD6589" w:rsidRPr="00AB4F72">
        <w:t>coexistido</w:t>
      </w:r>
      <w:r w:rsidRPr="00AB4F72">
        <w:t xml:space="preserve"> en los últimos días con el temor a que el conflicto </w:t>
      </w:r>
      <w:r w:rsidR="00AD6589" w:rsidRPr="00AB4F72">
        <w:t>sacuda</w:t>
      </w:r>
      <w:r w:rsidRPr="00AB4F72">
        <w:t xml:space="preserve"> a la oferta mundial de petróleo.</w:t>
      </w:r>
      <w:r w:rsidR="003061AE" w:rsidRPr="00AB4F72">
        <w:t xml:space="preserve"> (Investing, 2022b)</w:t>
      </w:r>
    </w:p>
    <w:p w14:paraId="6875D2C2" w14:textId="3996149C" w:rsidR="00CC5C07" w:rsidRPr="00AB4F72" w:rsidRDefault="0082399B" w:rsidP="00135B46">
      <w:pPr>
        <w:spacing w:line="360" w:lineRule="auto"/>
        <w:jc w:val="both"/>
        <w:rPr>
          <w:rFonts w:ascii="Times New Roman" w:hAnsi="Times New Roman" w:cs="Times New Roman"/>
          <w:sz w:val="24"/>
          <w:szCs w:val="24"/>
          <w:shd w:val="clear" w:color="auto" w:fill="FFFFFF"/>
        </w:rPr>
      </w:pPr>
      <w:r w:rsidRPr="00AB4F72">
        <w:rPr>
          <w:rFonts w:ascii="Times New Roman" w:hAnsi="Times New Roman" w:cs="Times New Roman"/>
          <w:sz w:val="24"/>
          <w:szCs w:val="24"/>
          <w:shd w:val="clear" w:color="auto" w:fill="FFFFFF"/>
        </w:rPr>
        <w:t xml:space="preserve">Ahora, siendo Rusia el tercer mayor productor mundial de petróleo, una sanción a sus exportaciones podría provocar una crisis de abastecimiento en momentos de fuerte demanda. Otros productos básicos procedentes de esa región, como el trigo y los metales, también subían </w:t>
      </w:r>
      <w:r w:rsidR="0075488F" w:rsidRPr="00AB4F72">
        <w:rPr>
          <w:rFonts w:ascii="Times New Roman" w:hAnsi="Times New Roman" w:cs="Times New Roman"/>
          <w:sz w:val="24"/>
          <w:szCs w:val="24"/>
          <w:shd w:val="clear" w:color="auto" w:fill="FFFFFF"/>
        </w:rPr>
        <w:t>fuertemente. (</w:t>
      </w:r>
      <w:r w:rsidRPr="00AB4F72">
        <w:rPr>
          <w:rFonts w:ascii="Times New Roman" w:hAnsi="Times New Roman" w:cs="Times New Roman"/>
          <w:sz w:val="24"/>
          <w:szCs w:val="24"/>
          <w:shd w:val="clear" w:color="auto" w:fill="FFFFFF"/>
        </w:rPr>
        <w:t>EL MUNDO, 2022).</w:t>
      </w:r>
    </w:p>
    <w:p w14:paraId="1A2C5E76" w14:textId="63AB691E" w:rsidR="00FF1EE6" w:rsidRPr="00AB4F72" w:rsidRDefault="006B7F12" w:rsidP="00135B46">
      <w:pPr>
        <w:shd w:val="clear" w:color="auto" w:fill="FFFFFF"/>
        <w:spacing w:after="0" w:line="360" w:lineRule="auto"/>
        <w:jc w:val="both"/>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 xml:space="preserve">El objetivo de esta investigación es presentar un estudio </w:t>
      </w:r>
      <w:r w:rsidR="00FF1EE6" w:rsidRPr="00AB4F72">
        <w:rPr>
          <w:rFonts w:ascii="Times New Roman" w:eastAsia="Times New Roman" w:hAnsi="Times New Roman" w:cs="Times New Roman"/>
          <w:sz w:val="24"/>
          <w:szCs w:val="24"/>
          <w:lang w:eastAsia="es-CO"/>
        </w:rPr>
        <w:t>comparativo entre</w:t>
      </w:r>
      <w:r w:rsidRPr="00AB4F72">
        <w:rPr>
          <w:rFonts w:ascii="Times New Roman" w:eastAsia="Times New Roman" w:hAnsi="Times New Roman" w:cs="Times New Roman"/>
          <w:sz w:val="24"/>
          <w:szCs w:val="24"/>
          <w:lang w:eastAsia="es-CO"/>
        </w:rPr>
        <w:t xml:space="preserve"> </w:t>
      </w:r>
      <w:r w:rsidR="00FF1EE6" w:rsidRPr="00AB4F72">
        <w:rPr>
          <w:rFonts w:ascii="Times New Roman" w:eastAsia="Times New Roman" w:hAnsi="Times New Roman" w:cs="Times New Roman"/>
          <w:sz w:val="24"/>
          <w:szCs w:val="24"/>
          <w:lang w:eastAsia="es-CO"/>
        </w:rPr>
        <w:t xml:space="preserve">el </w:t>
      </w:r>
      <w:r w:rsidR="00DC3519" w:rsidRPr="00AB4F72">
        <w:rPr>
          <w:rFonts w:ascii="Times New Roman" w:eastAsia="Times New Roman" w:hAnsi="Times New Roman" w:cs="Times New Roman"/>
          <w:sz w:val="24"/>
          <w:szCs w:val="24"/>
          <w:lang w:eastAsia="es-CO"/>
        </w:rPr>
        <w:t>precio del Petróleo Brent</w:t>
      </w:r>
      <w:r w:rsidR="00C8290B" w:rsidRPr="00AB4F72">
        <w:rPr>
          <w:rFonts w:ascii="Times New Roman" w:eastAsia="Times New Roman" w:hAnsi="Times New Roman" w:cs="Times New Roman"/>
          <w:sz w:val="24"/>
          <w:szCs w:val="24"/>
          <w:lang w:eastAsia="es-CO"/>
        </w:rPr>
        <w:t>,</w:t>
      </w:r>
      <w:r w:rsidR="00DC3519" w:rsidRPr="00AB4F72">
        <w:rPr>
          <w:rFonts w:ascii="Times New Roman" w:eastAsia="Times New Roman" w:hAnsi="Times New Roman" w:cs="Times New Roman"/>
          <w:sz w:val="24"/>
          <w:szCs w:val="24"/>
          <w:lang w:eastAsia="es-CO"/>
        </w:rPr>
        <w:t xml:space="preserve"> antes, </w:t>
      </w:r>
      <w:r w:rsidR="00862A83" w:rsidRPr="00AB4F72">
        <w:rPr>
          <w:rFonts w:ascii="Times New Roman" w:eastAsia="Times New Roman" w:hAnsi="Times New Roman" w:cs="Times New Roman"/>
          <w:sz w:val="24"/>
          <w:szCs w:val="24"/>
          <w:lang w:eastAsia="es-CO"/>
        </w:rPr>
        <w:t xml:space="preserve">y </w:t>
      </w:r>
      <w:r w:rsidR="00F371B4" w:rsidRPr="00AB4F72">
        <w:rPr>
          <w:rFonts w:ascii="Times New Roman" w:eastAsia="Times New Roman" w:hAnsi="Times New Roman" w:cs="Times New Roman"/>
          <w:sz w:val="24"/>
          <w:szCs w:val="24"/>
          <w:lang w:eastAsia="es-CO"/>
        </w:rPr>
        <w:t>cien días d</w:t>
      </w:r>
      <w:r w:rsidR="008550D3" w:rsidRPr="00AB4F72">
        <w:rPr>
          <w:rFonts w:ascii="Times New Roman" w:eastAsia="Times New Roman" w:hAnsi="Times New Roman" w:cs="Times New Roman"/>
          <w:sz w:val="24"/>
          <w:szCs w:val="24"/>
          <w:lang w:eastAsia="es-CO"/>
        </w:rPr>
        <w:t>espués de</w:t>
      </w:r>
      <w:r w:rsidR="00F371B4" w:rsidRPr="00AB4F72">
        <w:rPr>
          <w:rFonts w:ascii="Times New Roman" w:eastAsia="Times New Roman" w:hAnsi="Times New Roman" w:cs="Times New Roman"/>
          <w:sz w:val="24"/>
          <w:szCs w:val="24"/>
          <w:lang w:eastAsia="es-CO"/>
        </w:rPr>
        <w:t xml:space="preserve"> transcurrido </w:t>
      </w:r>
      <w:r w:rsidR="00862A83" w:rsidRPr="00AB4F72">
        <w:rPr>
          <w:rFonts w:ascii="Times New Roman" w:eastAsia="Times New Roman" w:hAnsi="Times New Roman" w:cs="Times New Roman"/>
          <w:sz w:val="24"/>
          <w:szCs w:val="24"/>
          <w:lang w:eastAsia="es-CO"/>
        </w:rPr>
        <w:t xml:space="preserve">el </w:t>
      </w:r>
      <w:r w:rsidR="00DC3519" w:rsidRPr="00AB4F72">
        <w:rPr>
          <w:rFonts w:ascii="Times New Roman" w:eastAsia="Times New Roman" w:hAnsi="Times New Roman" w:cs="Times New Roman"/>
          <w:sz w:val="24"/>
          <w:szCs w:val="24"/>
          <w:lang w:eastAsia="es-CO"/>
        </w:rPr>
        <w:t>conflicto en</w:t>
      </w:r>
      <w:r w:rsidR="00123001" w:rsidRPr="00AB4F72">
        <w:rPr>
          <w:rFonts w:ascii="Times New Roman" w:eastAsia="Times New Roman" w:hAnsi="Times New Roman" w:cs="Times New Roman"/>
          <w:sz w:val="24"/>
          <w:szCs w:val="24"/>
          <w:lang w:eastAsia="es-CO"/>
        </w:rPr>
        <w:t>tre</w:t>
      </w:r>
      <w:r w:rsidR="00DC3519" w:rsidRPr="00AB4F72">
        <w:rPr>
          <w:rFonts w:ascii="Times New Roman" w:eastAsia="Times New Roman" w:hAnsi="Times New Roman" w:cs="Times New Roman"/>
          <w:sz w:val="24"/>
          <w:szCs w:val="24"/>
          <w:lang w:eastAsia="es-CO"/>
        </w:rPr>
        <w:t xml:space="preserve"> Rusia y Ucrania.</w:t>
      </w:r>
    </w:p>
    <w:p w14:paraId="4B86952C" w14:textId="77777777" w:rsidR="00FF1EE6" w:rsidRPr="00AB4F72" w:rsidRDefault="00FF1EE6" w:rsidP="00135B46">
      <w:pPr>
        <w:shd w:val="clear" w:color="auto" w:fill="FFFFFF"/>
        <w:spacing w:after="0" w:line="360" w:lineRule="auto"/>
        <w:jc w:val="both"/>
        <w:rPr>
          <w:rFonts w:ascii="Times New Roman" w:eastAsia="Times New Roman" w:hAnsi="Times New Roman" w:cs="Times New Roman"/>
          <w:sz w:val="24"/>
          <w:szCs w:val="24"/>
          <w:lang w:eastAsia="es-CO"/>
        </w:rPr>
      </w:pPr>
    </w:p>
    <w:p w14:paraId="6A91CB1E" w14:textId="051591A1" w:rsidR="00FF1EE6" w:rsidRPr="00AB4F72" w:rsidRDefault="006B7F12" w:rsidP="00135B46">
      <w:pPr>
        <w:shd w:val="clear" w:color="auto" w:fill="FFFFFF"/>
        <w:spacing w:after="0" w:line="360" w:lineRule="auto"/>
        <w:jc w:val="both"/>
        <w:rPr>
          <w:rFonts w:ascii="Times New Roman" w:eastAsia="Times New Roman" w:hAnsi="Times New Roman" w:cs="Times New Roman"/>
          <w:b/>
          <w:bCs/>
          <w:sz w:val="24"/>
          <w:szCs w:val="24"/>
          <w:lang w:eastAsia="es-CO"/>
        </w:rPr>
      </w:pPr>
      <w:r w:rsidRPr="00AB4F72">
        <w:rPr>
          <w:rFonts w:ascii="Times New Roman" w:eastAsia="Times New Roman" w:hAnsi="Times New Roman" w:cs="Times New Roman"/>
          <w:b/>
          <w:bCs/>
          <w:sz w:val="24"/>
          <w:szCs w:val="24"/>
          <w:lang w:eastAsia="es-CO"/>
        </w:rPr>
        <w:t>METODOLOGÍA</w:t>
      </w:r>
    </w:p>
    <w:p w14:paraId="27807C65" w14:textId="77777777" w:rsidR="00FF1EE6" w:rsidRPr="00AB4F72" w:rsidRDefault="00FF1EE6" w:rsidP="00135B46">
      <w:pPr>
        <w:shd w:val="clear" w:color="auto" w:fill="FFFFFF"/>
        <w:spacing w:after="0" w:line="360" w:lineRule="auto"/>
        <w:jc w:val="both"/>
        <w:rPr>
          <w:rFonts w:ascii="Times New Roman" w:eastAsia="Times New Roman" w:hAnsi="Times New Roman" w:cs="Times New Roman"/>
          <w:sz w:val="24"/>
          <w:szCs w:val="24"/>
          <w:lang w:eastAsia="es-CO"/>
        </w:rPr>
      </w:pPr>
    </w:p>
    <w:p w14:paraId="289B933B" w14:textId="2192E27F" w:rsidR="006B7F12" w:rsidRPr="00AB4F72" w:rsidRDefault="00D735BF" w:rsidP="00135B46">
      <w:pPr>
        <w:shd w:val="clear" w:color="auto" w:fill="FFFFFF"/>
        <w:spacing w:after="0" w:line="360" w:lineRule="auto"/>
        <w:jc w:val="both"/>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 xml:space="preserve">El </w:t>
      </w:r>
      <w:r w:rsidR="00630A7E" w:rsidRPr="00AB4F72">
        <w:rPr>
          <w:rFonts w:ascii="Times New Roman" w:eastAsia="Times New Roman" w:hAnsi="Times New Roman" w:cs="Times New Roman"/>
          <w:sz w:val="24"/>
          <w:szCs w:val="24"/>
          <w:lang w:eastAsia="es-CO"/>
        </w:rPr>
        <w:t>trabajo de investigación se</w:t>
      </w:r>
      <w:r w:rsidR="006B7F12" w:rsidRPr="00AB4F72">
        <w:rPr>
          <w:rFonts w:ascii="Times New Roman" w:eastAsia="Times New Roman" w:hAnsi="Times New Roman" w:cs="Times New Roman"/>
          <w:sz w:val="24"/>
          <w:szCs w:val="24"/>
          <w:lang w:eastAsia="es-CO"/>
        </w:rPr>
        <w:t xml:space="preserve"> realizó mediante un tipo experimental que es</w:t>
      </w:r>
      <w:r w:rsidR="00630A7E" w:rsidRPr="00AB4F72">
        <w:rPr>
          <w:rFonts w:ascii="Times New Roman" w:eastAsia="Times New Roman" w:hAnsi="Times New Roman" w:cs="Times New Roman"/>
          <w:sz w:val="24"/>
          <w:szCs w:val="24"/>
          <w:lang w:eastAsia="es-CO"/>
        </w:rPr>
        <w:t xml:space="preserve"> el siguiente</w:t>
      </w:r>
      <w:r w:rsidR="006B7F12" w:rsidRPr="00AB4F72">
        <w:rPr>
          <w:rFonts w:ascii="Times New Roman" w:eastAsia="Times New Roman" w:hAnsi="Times New Roman" w:cs="Times New Roman"/>
          <w:sz w:val="24"/>
          <w:szCs w:val="24"/>
          <w:lang w:eastAsia="es-CO"/>
        </w:rPr>
        <w:t xml:space="preserve">:  </w:t>
      </w:r>
      <w:r w:rsidR="00630A7E" w:rsidRPr="00AB4F72">
        <w:rPr>
          <w:rFonts w:ascii="Times New Roman" w:eastAsia="Times New Roman" w:hAnsi="Times New Roman" w:cs="Times New Roman"/>
          <w:sz w:val="24"/>
          <w:szCs w:val="24"/>
          <w:lang w:eastAsia="es-CO"/>
        </w:rPr>
        <w:t>aquella que</w:t>
      </w:r>
      <w:r w:rsidR="006B7F12" w:rsidRPr="00AB4F72">
        <w:rPr>
          <w:rFonts w:ascii="Times New Roman" w:eastAsia="Times New Roman" w:hAnsi="Times New Roman" w:cs="Times New Roman"/>
          <w:sz w:val="24"/>
          <w:szCs w:val="24"/>
          <w:lang w:eastAsia="es-CO"/>
        </w:rPr>
        <w:t xml:space="preserve"> permite mayor </w:t>
      </w:r>
      <w:r w:rsidR="00630A7E" w:rsidRPr="00AB4F72">
        <w:rPr>
          <w:rFonts w:ascii="Times New Roman" w:eastAsia="Times New Roman" w:hAnsi="Times New Roman" w:cs="Times New Roman"/>
          <w:sz w:val="24"/>
          <w:szCs w:val="24"/>
          <w:lang w:eastAsia="es-CO"/>
        </w:rPr>
        <w:t xml:space="preserve">seguridad </w:t>
      </w:r>
      <w:r w:rsidR="00F4762B" w:rsidRPr="00AB4F72">
        <w:rPr>
          <w:rFonts w:ascii="Times New Roman" w:eastAsia="Times New Roman" w:hAnsi="Times New Roman" w:cs="Times New Roman"/>
          <w:sz w:val="24"/>
          <w:szCs w:val="24"/>
          <w:lang w:eastAsia="es-CO"/>
        </w:rPr>
        <w:t xml:space="preserve">al </w:t>
      </w:r>
      <w:r w:rsidR="007E0FBD" w:rsidRPr="00AB4F72">
        <w:rPr>
          <w:rFonts w:ascii="Times New Roman" w:eastAsia="Times New Roman" w:hAnsi="Times New Roman" w:cs="Times New Roman"/>
          <w:sz w:val="24"/>
          <w:szCs w:val="24"/>
          <w:lang w:eastAsia="es-CO"/>
        </w:rPr>
        <w:t xml:space="preserve">establecer </w:t>
      </w:r>
      <w:r w:rsidR="00B8205D" w:rsidRPr="00AB4F72">
        <w:rPr>
          <w:rFonts w:ascii="Times New Roman" w:eastAsia="Times New Roman" w:hAnsi="Times New Roman" w:cs="Times New Roman"/>
          <w:sz w:val="24"/>
          <w:szCs w:val="24"/>
          <w:lang w:eastAsia="es-CO"/>
        </w:rPr>
        <w:t>relaciones de causa</w:t>
      </w:r>
      <w:r w:rsidR="006B7F12" w:rsidRPr="00AB4F72">
        <w:rPr>
          <w:rFonts w:ascii="Times New Roman" w:eastAsia="Times New Roman" w:hAnsi="Times New Roman" w:cs="Times New Roman"/>
          <w:sz w:val="24"/>
          <w:szCs w:val="24"/>
          <w:lang w:eastAsia="es-CO"/>
        </w:rPr>
        <w:t xml:space="preserve">    </w:t>
      </w:r>
      <w:r w:rsidR="00242EFA" w:rsidRPr="00AB4F72">
        <w:rPr>
          <w:rFonts w:ascii="Times New Roman" w:eastAsia="Times New Roman" w:hAnsi="Times New Roman" w:cs="Times New Roman"/>
          <w:sz w:val="24"/>
          <w:szCs w:val="24"/>
          <w:lang w:eastAsia="es-CO"/>
        </w:rPr>
        <w:t>efecto pues</w:t>
      </w:r>
      <w:r w:rsidR="006B7F12" w:rsidRPr="00AB4F72">
        <w:rPr>
          <w:rFonts w:ascii="Times New Roman" w:eastAsia="Times New Roman" w:hAnsi="Times New Roman" w:cs="Times New Roman"/>
          <w:sz w:val="24"/>
          <w:szCs w:val="24"/>
          <w:lang w:eastAsia="es-CO"/>
        </w:rPr>
        <w:t xml:space="preserve"> </w:t>
      </w:r>
      <w:r w:rsidR="00242EFA" w:rsidRPr="00AB4F72">
        <w:rPr>
          <w:rFonts w:ascii="Times New Roman" w:eastAsia="Times New Roman" w:hAnsi="Times New Roman" w:cs="Times New Roman"/>
          <w:sz w:val="24"/>
          <w:szCs w:val="24"/>
          <w:lang w:eastAsia="es-CO"/>
        </w:rPr>
        <w:t>presenta una</w:t>
      </w:r>
      <w:r w:rsidR="006B7F12" w:rsidRPr="00AB4F72">
        <w:rPr>
          <w:rFonts w:ascii="Times New Roman" w:eastAsia="Times New Roman" w:hAnsi="Times New Roman" w:cs="Times New Roman"/>
          <w:sz w:val="24"/>
          <w:szCs w:val="24"/>
          <w:lang w:eastAsia="es-CO"/>
        </w:rPr>
        <w:t xml:space="preserve"> visión</w:t>
      </w:r>
      <w:r w:rsidR="00242EFA" w:rsidRPr="00AB4F72">
        <w:rPr>
          <w:rFonts w:ascii="Times New Roman" w:eastAsia="Times New Roman" w:hAnsi="Times New Roman" w:cs="Times New Roman"/>
          <w:sz w:val="24"/>
          <w:szCs w:val="24"/>
          <w:lang w:eastAsia="es-CO"/>
        </w:rPr>
        <w:t xml:space="preserve"> </w:t>
      </w:r>
      <w:r w:rsidR="006B7F12" w:rsidRPr="00AB4F72">
        <w:rPr>
          <w:rFonts w:ascii="Times New Roman" w:eastAsia="Times New Roman" w:hAnsi="Times New Roman" w:cs="Times New Roman"/>
          <w:sz w:val="24"/>
          <w:szCs w:val="24"/>
          <w:lang w:eastAsia="es-CO"/>
        </w:rPr>
        <w:t xml:space="preserve">general y aproximada del objeto de </w:t>
      </w:r>
      <w:r w:rsidR="00242EFA" w:rsidRPr="00AB4F72">
        <w:rPr>
          <w:rFonts w:ascii="Times New Roman" w:eastAsia="Times New Roman" w:hAnsi="Times New Roman" w:cs="Times New Roman"/>
          <w:sz w:val="24"/>
          <w:szCs w:val="24"/>
          <w:lang w:eastAsia="es-CO"/>
        </w:rPr>
        <w:t>estudio, además de</w:t>
      </w:r>
      <w:r w:rsidR="006B7F12" w:rsidRPr="00AB4F72">
        <w:rPr>
          <w:rFonts w:ascii="Times New Roman" w:eastAsia="Times New Roman" w:hAnsi="Times New Roman" w:cs="Times New Roman"/>
          <w:sz w:val="24"/>
          <w:szCs w:val="24"/>
          <w:lang w:eastAsia="es-CO"/>
        </w:rPr>
        <w:t xml:space="preserve"> contar con una investigación </w:t>
      </w:r>
      <w:r w:rsidR="00134EC4" w:rsidRPr="00AB4F72">
        <w:rPr>
          <w:rFonts w:ascii="Times New Roman" w:eastAsia="Times New Roman" w:hAnsi="Times New Roman" w:cs="Times New Roman"/>
          <w:sz w:val="24"/>
          <w:szCs w:val="24"/>
          <w:lang w:eastAsia="es-CO"/>
        </w:rPr>
        <w:t>cuyo el diseño</w:t>
      </w:r>
      <w:r w:rsidR="006B7F12" w:rsidRPr="00AB4F72">
        <w:rPr>
          <w:rFonts w:ascii="Times New Roman" w:eastAsia="Times New Roman" w:hAnsi="Times New Roman" w:cs="Times New Roman"/>
          <w:sz w:val="24"/>
          <w:szCs w:val="24"/>
          <w:lang w:eastAsia="es-CO"/>
        </w:rPr>
        <w:t xml:space="preserve"> establece </w:t>
      </w:r>
      <w:r w:rsidR="00AE5ACF" w:rsidRPr="00AB4F72">
        <w:rPr>
          <w:rFonts w:ascii="Times New Roman" w:eastAsia="Times New Roman" w:hAnsi="Times New Roman" w:cs="Times New Roman"/>
          <w:sz w:val="24"/>
          <w:szCs w:val="24"/>
          <w:lang w:eastAsia="es-CO"/>
        </w:rPr>
        <w:t>un método</w:t>
      </w:r>
      <w:r w:rsidR="006B7F12" w:rsidRPr="00AB4F72">
        <w:rPr>
          <w:rFonts w:ascii="Times New Roman" w:eastAsia="Times New Roman" w:hAnsi="Times New Roman" w:cs="Times New Roman"/>
          <w:sz w:val="24"/>
          <w:szCs w:val="24"/>
          <w:lang w:eastAsia="es-CO"/>
        </w:rPr>
        <w:t xml:space="preserve"> </w:t>
      </w:r>
      <w:r w:rsidR="00AE5ACF" w:rsidRPr="00AB4F72">
        <w:rPr>
          <w:rFonts w:ascii="Times New Roman" w:eastAsia="Times New Roman" w:hAnsi="Times New Roman" w:cs="Times New Roman"/>
          <w:sz w:val="24"/>
          <w:szCs w:val="24"/>
          <w:lang w:eastAsia="es-CO"/>
        </w:rPr>
        <w:t>experimental habitual</w:t>
      </w:r>
      <w:r w:rsidR="006B7F12" w:rsidRPr="00AB4F72">
        <w:rPr>
          <w:rFonts w:ascii="Times New Roman" w:eastAsia="Times New Roman" w:hAnsi="Times New Roman" w:cs="Times New Roman"/>
          <w:sz w:val="24"/>
          <w:szCs w:val="24"/>
          <w:lang w:eastAsia="es-CO"/>
        </w:rPr>
        <w:t xml:space="preserve"> del conjunto de las normas científicas, Monje (2011) </w:t>
      </w:r>
      <w:r w:rsidR="00DE54C6" w:rsidRPr="00AB4F72">
        <w:rPr>
          <w:rFonts w:ascii="Times New Roman" w:eastAsia="Times New Roman" w:hAnsi="Times New Roman" w:cs="Times New Roman"/>
          <w:sz w:val="24"/>
          <w:szCs w:val="24"/>
          <w:lang w:eastAsia="es-CO"/>
        </w:rPr>
        <w:t>citado por Díaz</w:t>
      </w:r>
      <w:r w:rsidR="00134EC4" w:rsidRPr="00AB4F72">
        <w:rPr>
          <w:rFonts w:ascii="Times New Roman" w:eastAsia="Times New Roman" w:hAnsi="Times New Roman" w:cs="Times New Roman"/>
          <w:sz w:val="24"/>
          <w:szCs w:val="24"/>
          <w:lang w:eastAsia="es-CO"/>
        </w:rPr>
        <w:t>, 2020</w:t>
      </w:r>
      <w:r w:rsidR="006B7F12" w:rsidRPr="00AB4F72">
        <w:rPr>
          <w:rFonts w:ascii="Times New Roman" w:eastAsia="Times New Roman" w:hAnsi="Times New Roman" w:cs="Times New Roman"/>
          <w:sz w:val="24"/>
          <w:szCs w:val="24"/>
          <w:lang w:eastAsia="es-CO"/>
        </w:rPr>
        <w:t xml:space="preserve">.   Regularmente   a   estos   experimentos   se   los   nombra ciencia verdadera y manejan medios matemáticos y estadísticos cotidianos para evaluar los resultados de modo concluyente. Todos los experimentos cuantitativos utilizan </w:t>
      </w:r>
      <w:r w:rsidR="00523A90" w:rsidRPr="00AB4F72">
        <w:rPr>
          <w:rFonts w:ascii="Times New Roman" w:eastAsia="Times New Roman" w:hAnsi="Times New Roman" w:cs="Times New Roman"/>
          <w:sz w:val="24"/>
          <w:szCs w:val="24"/>
          <w:lang w:eastAsia="es-CO"/>
        </w:rPr>
        <w:t>un formato</w:t>
      </w:r>
      <w:r w:rsidR="006B7F12" w:rsidRPr="00AB4F72">
        <w:rPr>
          <w:rFonts w:ascii="Times New Roman" w:eastAsia="Times New Roman" w:hAnsi="Times New Roman" w:cs="Times New Roman"/>
          <w:sz w:val="24"/>
          <w:szCs w:val="24"/>
          <w:lang w:eastAsia="es-CO"/>
        </w:rPr>
        <w:t xml:space="preserve"> </w:t>
      </w:r>
      <w:r w:rsidR="00523A90" w:rsidRPr="00AB4F72">
        <w:rPr>
          <w:rFonts w:ascii="Times New Roman" w:eastAsia="Times New Roman" w:hAnsi="Times New Roman" w:cs="Times New Roman"/>
          <w:sz w:val="24"/>
          <w:szCs w:val="24"/>
          <w:lang w:eastAsia="es-CO"/>
        </w:rPr>
        <w:t>estándar con</w:t>
      </w:r>
      <w:r w:rsidR="006B7F12" w:rsidRPr="00AB4F72">
        <w:rPr>
          <w:rFonts w:ascii="Times New Roman" w:eastAsia="Times New Roman" w:hAnsi="Times New Roman" w:cs="Times New Roman"/>
          <w:sz w:val="24"/>
          <w:szCs w:val="24"/>
          <w:lang w:eastAsia="es-CO"/>
        </w:rPr>
        <w:t xml:space="preserve"> algunas pequeñas </w:t>
      </w:r>
      <w:r w:rsidR="00523A90" w:rsidRPr="00AB4F72">
        <w:rPr>
          <w:rFonts w:ascii="Times New Roman" w:eastAsia="Times New Roman" w:hAnsi="Times New Roman" w:cs="Times New Roman"/>
          <w:sz w:val="24"/>
          <w:szCs w:val="24"/>
          <w:lang w:eastAsia="es-CO"/>
        </w:rPr>
        <w:t>diferencias interdisciplinarias para</w:t>
      </w:r>
      <w:r w:rsidR="006B7F12" w:rsidRPr="00AB4F72">
        <w:rPr>
          <w:rFonts w:ascii="Times New Roman" w:eastAsia="Times New Roman" w:hAnsi="Times New Roman" w:cs="Times New Roman"/>
          <w:sz w:val="24"/>
          <w:szCs w:val="24"/>
          <w:lang w:eastAsia="es-CO"/>
        </w:rPr>
        <w:t xml:space="preserve"> </w:t>
      </w:r>
      <w:r w:rsidR="00523A90" w:rsidRPr="00AB4F72">
        <w:rPr>
          <w:rFonts w:ascii="Times New Roman" w:eastAsia="Times New Roman" w:hAnsi="Times New Roman" w:cs="Times New Roman"/>
          <w:sz w:val="24"/>
          <w:szCs w:val="24"/>
          <w:lang w:eastAsia="es-CO"/>
        </w:rPr>
        <w:t>generar una</w:t>
      </w:r>
      <w:r w:rsidR="006B7F12" w:rsidRPr="00AB4F72">
        <w:rPr>
          <w:rFonts w:ascii="Times New Roman" w:eastAsia="Times New Roman" w:hAnsi="Times New Roman" w:cs="Times New Roman"/>
          <w:sz w:val="24"/>
          <w:szCs w:val="24"/>
          <w:lang w:eastAsia="es-CO"/>
        </w:rPr>
        <w:t xml:space="preserve"> hipótesis que será probada o desmentida. Esta hipótesis debe ser demostrable por medios matemáticos y estadísticos y constituye la base alrededor de la cual se diseña todo el </w:t>
      </w:r>
      <w:r w:rsidR="00B5028B" w:rsidRPr="00AB4F72">
        <w:rPr>
          <w:rFonts w:ascii="Times New Roman" w:eastAsia="Times New Roman" w:hAnsi="Times New Roman" w:cs="Times New Roman"/>
          <w:sz w:val="24"/>
          <w:szCs w:val="24"/>
          <w:lang w:eastAsia="es-CO"/>
        </w:rPr>
        <w:t xml:space="preserve">experimento. </w:t>
      </w:r>
      <w:r w:rsidR="00242EFA" w:rsidRPr="00AB4F72">
        <w:rPr>
          <w:rFonts w:ascii="Times New Roman" w:eastAsia="Times New Roman" w:hAnsi="Times New Roman" w:cs="Times New Roman"/>
          <w:sz w:val="24"/>
          <w:szCs w:val="24"/>
          <w:lang w:eastAsia="es-CO"/>
        </w:rPr>
        <w:t>(</w:t>
      </w:r>
      <w:r w:rsidR="00242EFA" w:rsidRPr="00AB4F72">
        <w:rPr>
          <w:rFonts w:ascii="Times New Roman" w:hAnsi="Times New Roman" w:cs="Times New Roman"/>
          <w:sz w:val="24"/>
          <w:szCs w:val="24"/>
        </w:rPr>
        <w:t>Shuttleworth</w:t>
      </w:r>
      <w:r w:rsidR="00B5028B" w:rsidRPr="00AB4F72">
        <w:rPr>
          <w:rFonts w:ascii="Times New Roman" w:hAnsi="Times New Roman" w:cs="Times New Roman"/>
          <w:sz w:val="24"/>
          <w:szCs w:val="24"/>
        </w:rPr>
        <w:t>, 2008)</w:t>
      </w:r>
      <w:r w:rsidR="006B7F12" w:rsidRPr="00AB4F72">
        <w:rPr>
          <w:rFonts w:ascii="Times New Roman" w:eastAsia="Times New Roman" w:hAnsi="Times New Roman" w:cs="Times New Roman"/>
          <w:sz w:val="24"/>
          <w:szCs w:val="24"/>
          <w:lang w:eastAsia="es-CO"/>
        </w:rPr>
        <w:t xml:space="preserve"> </w:t>
      </w:r>
    </w:p>
    <w:p w14:paraId="7D1658C7" w14:textId="10D5BACE" w:rsidR="005D556E" w:rsidRPr="00AB4F72" w:rsidRDefault="005D556E" w:rsidP="00135B46">
      <w:pPr>
        <w:shd w:val="clear" w:color="auto" w:fill="FFFFFF"/>
        <w:spacing w:after="0" w:line="360" w:lineRule="auto"/>
        <w:jc w:val="both"/>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Para desarrollar la investigación se utilizó la base de datos del precio de cierre del barril del Petróleo Brent</w:t>
      </w:r>
      <w:r w:rsidR="00546DC9" w:rsidRPr="00AB4F72">
        <w:rPr>
          <w:rFonts w:ascii="Times New Roman" w:eastAsia="Times New Roman" w:hAnsi="Times New Roman" w:cs="Times New Roman"/>
          <w:sz w:val="24"/>
          <w:szCs w:val="24"/>
          <w:lang w:eastAsia="es-CO"/>
        </w:rPr>
        <w:t xml:space="preserve"> </w:t>
      </w:r>
      <w:r w:rsidR="00546DC9" w:rsidRPr="00AB4F72">
        <w:rPr>
          <w:rFonts w:ascii="Times New Roman" w:hAnsi="Times New Roman" w:cs="Times New Roman"/>
          <w:sz w:val="24"/>
          <w:szCs w:val="24"/>
        </w:rPr>
        <w:t>(Investing, 2022a)</w:t>
      </w:r>
      <w:r w:rsidRPr="00AB4F72">
        <w:rPr>
          <w:rFonts w:ascii="Times New Roman" w:eastAsia="Times New Roman" w:hAnsi="Times New Roman" w:cs="Times New Roman"/>
          <w:sz w:val="24"/>
          <w:szCs w:val="24"/>
          <w:lang w:eastAsia="es-CO"/>
        </w:rPr>
        <w:t xml:space="preserve">, durante el período comprendido entre </w:t>
      </w:r>
      <w:r w:rsidR="00523A90" w:rsidRPr="00AB4F72">
        <w:rPr>
          <w:rFonts w:ascii="Times New Roman" w:eastAsia="Times New Roman" w:hAnsi="Times New Roman" w:cs="Times New Roman"/>
          <w:sz w:val="24"/>
          <w:szCs w:val="24"/>
          <w:lang w:eastAsia="es-CO"/>
        </w:rPr>
        <w:t xml:space="preserve">enero </w:t>
      </w:r>
      <w:r w:rsidR="008025DC" w:rsidRPr="00AB4F72">
        <w:rPr>
          <w:rFonts w:ascii="Times New Roman" w:eastAsia="Times New Roman" w:hAnsi="Times New Roman" w:cs="Times New Roman"/>
          <w:sz w:val="24"/>
          <w:szCs w:val="24"/>
          <w:lang w:eastAsia="es-CO"/>
        </w:rPr>
        <w:t xml:space="preserve">el 2 de enero de 2022 </w:t>
      </w:r>
      <w:r w:rsidR="00523A90" w:rsidRPr="00AB4F72">
        <w:rPr>
          <w:rFonts w:ascii="Times New Roman" w:eastAsia="Times New Roman" w:hAnsi="Times New Roman" w:cs="Times New Roman"/>
          <w:sz w:val="24"/>
          <w:szCs w:val="24"/>
          <w:lang w:eastAsia="es-CO"/>
        </w:rPr>
        <w:t>a</w:t>
      </w:r>
      <w:r w:rsidR="00546DC9" w:rsidRPr="00AB4F72">
        <w:rPr>
          <w:rFonts w:ascii="Times New Roman" w:eastAsia="Times New Roman" w:hAnsi="Times New Roman" w:cs="Times New Roman"/>
          <w:sz w:val="24"/>
          <w:szCs w:val="24"/>
          <w:lang w:eastAsia="es-CO"/>
        </w:rPr>
        <w:t xml:space="preserve">l 3 </w:t>
      </w:r>
      <w:r w:rsidR="008025DC" w:rsidRPr="00AB4F72">
        <w:rPr>
          <w:rFonts w:ascii="Times New Roman" w:eastAsia="Times New Roman" w:hAnsi="Times New Roman" w:cs="Times New Roman"/>
          <w:sz w:val="24"/>
          <w:szCs w:val="24"/>
          <w:lang w:eastAsia="es-CO"/>
        </w:rPr>
        <w:t xml:space="preserve">junio </w:t>
      </w:r>
      <w:r w:rsidR="00523A90" w:rsidRPr="00AB4F72">
        <w:rPr>
          <w:rFonts w:ascii="Times New Roman" w:eastAsia="Times New Roman" w:hAnsi="Times New Roman" w:cs="Times New Roman"/>
          <w:sz w:val="24"/>
          <w:szCs w:val="24"/>
          <w:lang w:eastAsia="es-CO"/>
        </w:rPr>
        <w:t>de 2022</w:t>
      </w:r>
      <w:r w:rsidR="00546DC9" w:rsidRPr="00AB4F72">
        <w:rPr>
          <w:rFonts w:ascii="Times New Roman" w:eastAsia="Times New Roman" w:hAnsi="Times New Roman" w:cs="Times New Roman"/>
          <w:sz w:val="24"/>
          <w:szCs w:val="24"/>
          <w:lang w:eastAsia="es-CO"/>
        </w:rPr>
        <w:t>.</w:t>
      </w:r>
    </w:p>
    <w:p w14:paraId="663E3F7C" w14:textId="533D944D" w:rsidR="005D556E" w:rsidRPr="00AB4F72" w:rsidRDefault="005D556E" w:rsidP="00135B46">
      <w:pPr>
        <w:shd w:val="clear" w:color="auto" w:fill="FFFFFF"/>
        <w:spacing w:after="0" w:line="360" w:lineRule="auto"/>
        <w:jc w:val="both"/>
        <w:rPr>
          <w:rFonts w:ascii="Times New Roman" w:eastAsia="Times New Roman" w:hAnsi="Times New Roman" w:cs="Times New Roman"/>
          <w:sz w:val="24"/>
          <w:szCs w:val="24"/>
          <w:lang w:eastAsia="es-CO"/>
        </w:rPr>
      </w:pPr>
    </w:p>
    <w:p w14:paraId="29AB00C1" w14:textId="77777777" w:rsidR="00D735BF" w:rsidRPr="00AB4F72" w:rsidRDefault="00D735BF"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b/>
          <w:bCs/>
          <w:sz w:val="24"/>
          <w:szCs w:val="24"/>
        </w:rPr>
        <w:t>Resultados</w:t>
      </w:r>
    </w:p>
    <w:p w14:paraId="2048A968" w14:textId="77777777" w:rsidR="00D735BF" w:rsidRPr="00AB4F72" w:rsidRDefault="00D735BF"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b/>
          <w:bCs/>
          <w:sz w:val="24"/>
          <w:szCs w:val="24"/>
        </w:rPr>
        <w:t xml:space="preserve">Formulación de hipótesis: </w:t>
      </w:r>
    </w:p>
    <w:p w14:paraId="1E97C497" w14:textId="77777777"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La hipótesis del presente trabajo de investigación se diseña como una relación causal y se enuncia de la siguiente forma:</w:t>
      </w:r>
    </w:p>
    <w:p w14:paraId="3F5D851C" w14:textId="6F1E8520"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b/>
          <w:bCs/>
          <w:sz w:val="24"/>
          <w:szCs w:val="24"/>
        </w:rPr>
        <w:t xml:space="preserve">(a) </w:t>
      </w:r>
      <w:r w:rsidRPr="00AB4F72">
        <w:rPr>
          <w:rFonts w:ascii="Times New Roman" w:hAnsi="Times New Roman" w:cs="Times New Roman"/>
          <w:b/>
          <w:bCs/>
          <w:i/>
          <w:sz w:val="24"/>
          <w:szCs w:val="24"/>
        </w:rPr>
        <w:t>hipótesis alterna (Ha)</w:t>
      </w:r>
      <w:r w:rsidRPr="00AB4F72">
        <w:rPr>
          <w:rFonts w:ascii="Times New Roman" w:hAnsi="Times New Roman" w:cs="Times New Roman"/>
          <w:i/>
          <w:sz w:val="24"/>
          <w:szCs w:val="24"/>
        </w:rPr>
        <w:t>:</w:t>
      </w:r>
      <w:r w:rsidRPr="00AB4F72">
        <w:rPr>
          <w:rFonts w:ascii="Times New Roman" w:hAnsi="Times New Roman" w:cs="Times New Roman"/>
          <w:sz w:val="24"/>
          <w:szCs w:val="24"/>
        </w:rPr>
        <w:t xml:space="preserve"> existen diferencias significativas entre el </w:t>
      </w:r>
      <w:r w:rsidR="00993EC5" w:rsidRPr="00AB4F72">
        <w:rPr>
          <w:rFonts w:ascii="Times New Roman" w:hAnsi="Times New Roman" w:cs="Times New Roman"/>
          <w:sz w:val="24"/>
          <w:szCs w:val="24"/>
        </w:rPr>
        <w:t>precio de cierre del petróleo Brent antes y durante el conflicto en Ucrania</w:t>
      </w:r>
      <w:r w:rsidRPr="00AB4F72">
        <w:rPr>
          <w:rFonts w:ascii="Times New Roman" w:hAnsi="Times New Roman" w:cs="Times New Roman"/>
          <w:sz w:val="24"/>
          <w:szCs w:val="24"/>
        </w:rPr>
        <w:t>, y (</w:t>
      </w:r>
      <w:r w:rsidR="00197CB2" w:rsidRPr="00AB4F72">
        <w:rPr>
          <w:rFonts w:ascii="Times New Roman" w:hAnsi="Times New Roman" w:cs="Times New Roman"/>
          <w:sz w:val="24"/>
          <w:szCs w:val="24"/>
        </w:rPr>
        <w:t>b) hipótesis</w:t>
      </w:r>
      <w:r w:rsidRPr="00AB4F72">
        <w:rPr>
          <w:rFonts w:ascii="Times New Roman" w:hAnsi="Times New Roman" w:cs="Times New Roman"/>
          <w:b/>
          <w:bCs/>
          <w:i/>
          <w:sz w:val="24"/>
          <w:szCs w:val="24"/>
        </w:rPr>
        <w:t xml:space="preserve"> nula (Ho)</w:t>
      </w:r>
      <w:r w:rsidRPr="00AB4F72">
        <w:rPr>
          <w:rFonts w:ascii="Times New Roman" w:hAnsi="Times New Roman" w:cs="Times New Roman"/>
          <w:i/>
          <w:sz w:val="24"/>
          <w:szCs w:val="24"/>
        </w:rPr>
        <w:t>:</w:t>
      </w:r>
      <w:r w:rsidRPr="00AB4F72">
        <w:rPr>
          <w:rFonts w:ascii="Times New Roman" w:hAnsi="Times New Roman" w:cs="Times New Roman"/>
          <w:sz w:val="24"/>
          <w:szCs w:val="24"/>
        </w:rPr>
        <w:t xml:space="preserve"> no </w:t>
      </w:r>
      <w:r w:rsidR="00197CB2" w:rsidRPr="00AB4F72">
        <w:rPr>
          <w:rFonts w:ascii="Times New Roman" w:hAnsi="Times New Roman" w:cs="Times New Roman"/>
          <w:sz w:val="24"/>
          <w:szCs w:val="24"/>
        </w:rPr>
        <w:t>existen diferencias significativas entre el precio de cierre del petróleo Brent antes y durante el conflicto en Ucrania</w:t>
      </w:r>
      <w:r w:rsidRPr="00AB4F72">
        <w:rPr>
          <w:rFonts w:ascii="Times New Roman" w:hAnsi="Times New Roman" w:cs="Times New Roman"/>
          <w:sz w:val="24"/>
          <w:szCs w:val="24"/>
        </w:rPr>
        <w:t xml:space="preserve">. Nivel de significancia: =5% = 0,5. </w:t>
      </w:r>
    </w:p>
    <w:p w14:paraId="01C85C1E" w14:textId="2D1F5499"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b/>
          <w:bCs/>
          <w:sz w:val="24"/>
          <w:szCs w:val="24"/>
        </w:rPr>
        <w:t xml:space="preserve">Elección de la prueba estadística: </w:t>
      </w:r>
      <w:r w:rsidRPr="00AB4F72">
        <w:rPr>
          <w:rFonts w:ascii="Times New Roman" w:hAnsi="Times New Roman" w:cs="Times New Roman"/>
          <w:b/>
          <w:bCs/>
          <w:i/>
          <w:sz w:val="24"/>
          <w:szCs w:val="24"/>
        </w:rPr>
        <w:t>t-student</w:t>
      </w:r>
      <w:r w:rsidRPr="00AB4F72">
        <w:rPr>
          <w:rFonts w:ascii="Times New Roman" w:hAnsi="Times New Roman" w:cs="Times New Roman"/>
          <w:b/>
          <w:bCs/>
          <w:sz w:val="24"/>
          <w:szCs w:val="24"/>
        </w:rPr>
        <w:t>, admite</w:t>
      </w:r>
      <w:r w:rsidRPr="00AB4F72">
        <w:rPr>
          <w:rFonts w:ascii="Times New Roman" w:hAnsi="Times New Roman" w:cs="Times New Roman"/>
          <w:sz w:val="24"/>
          <w:szCs w:val="24"/>
        </w:rPr>
        <w:t xml:space="preserve"> decidir si dos variables aleatorias normales (gaussianas) y con igual varianza tienen medias </w:t>
      </w:r>
      <w:r w:rsidR="00CE7172" w:rsidRPr="00AB4F72">
        <w:rPr>
          <w:rFonts w:ascii="Times New Roman" w:hAnsi="Times New Roman" w:cs="Times New Roman"/>
          <w:sz w:val="24"/>
          <w:szCs w:val="24"/>
        </w:rPr>
        <w:t>diferentes. (Olea,2017).</w:t>
      </w:r>
      <w:r w:rsidRPr="00AB4F72">
        <w:rPr>
          <w:rFonts w:ascii="Times New Roman" w:hAnsi="Times New Roman" w:cs="Times New Roman"/>
          <w:sz w:val="24"/>
          <w:szCs w:val="24"/>
        </w:rPr>
        <w:t xml:space="preserve"> Puede </w:t>
      </w:r>
      <w:r w:rsidR="00CE7172" w:rsidRPr="00AB4F72">
        <w:rPr>
          <w:rFonts w:ascii="Times New Roman" w:hAnsi="Times New Roman" w:cs="Times New Roman"/>
          <w:sz w:val="24"/>
          <w:szCs w:val="24"/>
        </w:rPr>
        <w:t>manejarse</w:t>
      </w:r>
      <w:r w:rsidRPr="00AB4F72">
        <w:rPr>
          <w:rFonts w:ascii="Times New Roman" w:hAnsi="Times New Roman" w:cs="Times New Roman"/>
          <w:sz w:val="24"/>
          <w:szCs w:val="24"/>
        </w:rPr>
        <w:t xml:space="preserve"> en numerosos contextos para </w:t>
      </w:r>
      <w:r w:rsidR="00CE7172" w:rsidRPr="00AB4F72">
        <w:rPr>
          <w:rFonts w:ascii="Times New Roman" w:hAnsi="Times New Roman" w:cs="Times New Roman"/>
          <w:sz w:val="24"/>
          <w:szCs w:val="24"/>
        </w:rPr>
        <w:t>demostrar</w:t>
      </w:r>
      <w:r w:rsidRPr="00AB4F72">
        <w:rPr>
          <w:rFonts w:ascii="Times New Roman" w:hAnsi="Times New Roman" w:cs="Times New Roman"/>
          <w:sz w:val="24"/>
          <w:szCs w:val="24"/>
        </w:rPr>
        <w:t xml:space="preserve"> si la modificación en las condiciones de un proceso (humano o natural) fundamentalmente aleatorio produce una elevación o disminución de la media </w:t>
      </w:r>
      <w:r w:rsidR="00CE7172" w:rsidRPr="00AB4F72">
        <w:rPr>
          <w:rFonts w:ascii="Times New Roman" w:hAnsi="Times New Roman" w:cs="Times New Roman"/>
          <w:sz w:val="24"/>
          <w:szCs w:val="24"/>
        </w:rPr>
        <w:t>poblacional. (</w:t>
      </w:r>
      <w:r w:rsidR="00842978" w:rsidRPr="00AB4F72">
        <w:rPr>
          <w:rFonts w:ascii="Times New Roman" w:hAnsi="Times New Roman" w:cs="Times New Roman"/>
          <w:sz w:val="24"/>
          <w:szCs w:val="24"/>
        </w:rPr>
        <w:t>Olea, 2017)</w:t>
      </w:r>
      <w:r w:rsidRPr="00AB4F72">
        <w:rPr>
          <w:rFonts w:ascii="Times New Roman" w:hAnsi="Times New Roman" w:cs="Times New Roman"/>
          <w:sz w:val="24"/>
          <w:szCs w:val="24"/>
        </w:rPr>
        <w:t xml:space="preserve"> </w:t>
      </w:r>
    </w:p>
    <w:p w14:paraId="7E828F4F" w14:textId="77777777" w:rsidR="00D735BF" w:rsidRPr="00AB4F72" w:rsidRDefault="00D735BF"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b/>
          <w:bCs/>
          <w:sz w:val="24"/>
          <w:szCs w:val="24"/>
        </w:rPr>
        <w:t xml:space="preserve">Toma de decisión: </w:t>
      </w:r>
      <w:r w:rsidRPr="00AB4F72">
        <w:rPr>
          <w:rFonts w:ascii="Times New Roman" w:hAnsi="Times New Roman" w:cs="Times New Roman"/>
          <w:sz w:val="24"/>
          <w:szCs w:val="24"/>
        </w:rPr>
        <w:t>sí el</w:t>
      </w:r>
      <w:r w:rsidRPr="00AB4F72">
        <w:rPr>
          <w:rFonts w:ascii="Times New Roman" w:hAnsi="Times New Roman" w:cs="Times New Roman"/>
          <w:b/>
          <w:bCs/>
          <w:sz w:val="24"/>
          <w:szCs w:val="24"/>
        </w:rPr>
        <w:t xml:space="preserve"> </w:t>
      </w:r>
      <w:r w:rsidRPr="00AB4F72">
        <w:rPr>
          <w:rFonts w:ascii="Times New Roman" w:hAnsi="Times New Roman" w:cs="Times New Roman"/>
          <w:b/>
          <w:bCs/>
          <w:i/>
          <w:sz w:val="24"/>
          <w:szCs w:val="24"/>
        </w:rPr>
        <w:t>p- valor</w:t>
      </w:r>
      <w:r w:rsidRPr="00AB4F72">
        <w:rPr>
          <w:rFonts w:ascii="Times New Roman" w:hAnsi="Times New Roman" w:cs="Times New Roman"/>
          <w:sz w:val="24"/>
          <w:szCs w:val="24"/>
        </w:rPr>
        <w:t xml:space="preserve"> ˂ a es aceptar Ha, entonces rechazamos la hipótesis nula y nos quedamos con la hipótesis del investigador (Ha).</w:t>
      </w:r>
    </w:p>
    <w:p w14:paraId="71C0D48A" w14:textId="112DD5E0" w:rsidR="00D735BF" w:rsidRPr="00AB4F72" w:rsidRDefault="00D735BF"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b/>
          <w:bCs/>
          <w:sz w:val="24"/>
          <w:szCs w:val="24"/>
        </w:rPr>
        <w:t xml:space="preserve">Condiciones de aplicación </w:t>
      </w:r>
      <w:r w:rsidR="002E0087" w:rsidRPr="00AB4F72">
        <w:rPr>
          <w:rFonts w:ascii="Times New Roman" w:hAnsi="Times New Roman" w:cs="Times New Roman"/>
          <w:b/>
          <w:bCs/>
          <w:sz w:val="24"/>
          <w:szCs w:val="24"/>
        </w:rPr>
        <w:t>de la prueba</w:t>
      </w:r>
      <w:r w:rsidRPr="00AB4F72">
        <w:rPr>
          <w:rFonts w:ascii="Times New Roman" w:hAnsi="Times New Roman" w:cs="Times New Roman"/>
          <w:b/>
          <w:bCs/>
          <w:sz w:val="24"/>
          <w:szCs w:val="24"/>
        </w:rPr>
        <w:t xml:space="preserve"> t para dos medias: </w:t>
      </w:r>
      <w:r w:rsidRPr="00AB4F72">
        <w:rPr>
          <w:rFonts w:ascii="Times New Roman" w:hAnsi="Times New Roman" w:cs="Times New Roman"/>
          <w:sz w:val="24"/>
          <w:szCs w:val="24"/>
        </w:rPr>
        <w:t>el valor de significancia (Sig.) de la prueba es = 0.05 (5%); si es mayor se acepta la hipótesis nula y si es menor se le rechaza. Para una variable aleatoria (numérica) se aplicará la prueba t- de student, para diferencia de medias en muestras independientes. Es una prueba estadística para evaluar si dos grupos difieren entre sí de manera significativa respecto de sus medias. Se utilizó el software SPSS v 25.0</w:t>
      </w:r>
      <w:r w:rsidR="003D505C" w:rsidRPr="00AB4F72">
        <w:rPr>
          <w:rFonts w:ascii="Times New Roman" w:hAnsi="Times New Roman" w:cs="Times New Roman"/>
          <w:sz w:val="24"/>
          <w:szCs w:val="24"/>
        </w:rPr>
        <w:t xml:space="preserve"> de IBM, 2017.</w:t>
      </w:r>
    </w:p>
    <w:p w14:paraId="0DA6B93B" w14:textId="1C180CD6"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Las condiciones de aplicación </w:t>
      </w:r>
      <w:r w:rsidR="00630A7E" w:rsidRPr="00AB4F72">
        <w:rPr>
          <w:rFonts w:ascii="Times New Roman" w:hAnsi="Times New Roman" w:cs="Times New Roman"/>
          <w:sz w:val="24"/>
          <w:szCs w:val="24"/>
        </w:rPr>
        <w:t>de la prueba</w:t>
      </w:r>
      <w:r w:rsidRPr="00AB4F72">
        <w:rPr>
          <w:rFonts w:ascii="Times New Roman" w:hAnsi="Times New Roman" w:cs="Times New Roman"/>
          <w:sz w:val="24"/>
          <w:szCs w:val="24"/>
        </w:rPr>
        <w:t xml:space="preserve"> t para comparar dos medias son: a) normalidad o n &gt; 30 en cada grupo y b) homogeneidad de varianzas.</w:t>
      </w:r>
    </w:p>
    <w:p w14:paraId="501CD317" w14:textId="271054C5"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Según Olea</w:t>
      </w:r>
      <w:r w:rsidR="00CE7172" w:rsidRPr="00AB4F72">
        <w:rPr>
          <w:rFonts w:ascii="Times New Roman" w:hAnsi="Times New Roman" w:cs="Times New Roman"/>
          <w:sz w:val="24"/>
          <w:szCs w:val="24"/>
        </w:rPr>
        <w:t>,2017</w:t>
      </w:r>
      <w:r w:rsidRPr="00AB4F72">
        <w:rPr>
          <w:rFonts w:ascii="Times New Roman" w:hAnsi="Times New Roman" w:cs="Times New Roman"/>
          <w:sz w:val="24"/>
          <w:szCs w:val="24"/>
        </w:rPr>
        <w:t xml:space="preserve"> y Ocaña</w:t>
      </w:r>
      <w:r w:rsidR="00C523CC" w:rsidRPr="00AB4F72">
        <w:rPr>
          <w:rFonts w:ascii="Times New Roman" w:hAnsi="Times New Roman" w:cs="Times New Roman"/>
          <w:sz w:val="24"/>
          <w:szCs w:val="24"/>
        </w:rPr>
        <w:t>, 2017,</w:t>
      </w:r>
      <w:r w:rsidRPr="00AB4F72">
        <w:rPr>
          <w:rFonts w:ascii="Times New Roman" w:hAnsi="Times New Roman" w:cs="Times New Roman"/>
          <w:sz w:val="24"/>
          <w:szCs w:val="24"/>
        </w:rPr>
        <w:t xml:space="preserve"> calcular el p-valor de la prueba t-student en muestras independientes: normalidad Kolmogórov-Smirnov en muestras grandes (&gt;de 30 individuos); Shapiro-Wilk en muestras pequeñas (&lt;de 30 individuos) y calcular el p-valor de la prueba t. Criterio para determinar la normalidad: </w:t>
      </w:r>
      <w:r w:rsidRPr="00AB4F72">
        <w:rPr>
          <w:rFonts w:ascii="Times New Roman" w:hAnsi="Times New Roman" w:cs="Times New Roman"/>
          <w:b/>
          <w:bCs/>
          <w:i/>
          <w:sz w:val="24"/>
          <w:szCs w:val="24"/>
        </w:rPr>
        <w:t>p- valor</w:t>
      </w:r>
      <w:r w:rsidRPr="00AB4F72">
        <w:rPr>
          <w:rFonts w:ascii="Times New Roman" w:hAnsi="Times New Roman" w:cs="Times New Roman"/>
          <w:sz w:val="24"/>
          <w:szCs w:val="24"/>
        </w:rPr>
        <w:t xml:space="preserve"> =˃ α aceptar Ho = los datos provienen de una distribución normal, y p</w:t>
      </w:r>
      <w:r w:rsidRPr="00AB4F72">
        <w:rPr>
          <w:rFonts w:ascii="Times New Roman" w:hAnsi="Times New Roman" w:cs="Times New Roman"/>
          <w:b/>
          <w:bCs/>
          <w:sz w:val="24"/>
          <w:szCs w:val="24"/>
        </w:rPr>
        <w:t>- Valor</w:t>
      </w:r>
      <w:r w:rsidRPr="00AB4F72">
        <w:rPr>
          <w:rFonts w:ascii="Times New Roman" w:hAnsi="Times New Roman" w:cs="Times New Roman"/>
          <w:sz w:val="24"/>
          <w:szCs w:val="24"/>
        </w:rPr>
        <w:t xml:space="preserve"> ˂ α aceptar Ha = Los datos NO provienen de una distribución normal.</w:t>
      </w:r>
    </w:p>
    <w:p w14:paraId="785723D2" w14:textId="68D8437F"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En la </w:t>
      </w:r>
      <w:r w:rsidRPr="00AB4F72">
        <w:rPr>
          <w:rFonts w:ascii="Times New Roman" w:hAnsi="Times New Roman" w:cs="Times New Roman"/>
          <w:b/>
          <w:sz w:val="24"/>
          <w:szCs w:val="24"/>
        </w:rPr>
        <w:t>tabla 2</w:t>
      </w:r>
      <w:r w:rsidRPr="00AB4F72">
        <w:rPr>
          <w:rFonts w:ascii="Times New Roman" w:hAnsi="Times New Roman" w:cs="Times New Roman"/>
          <w:sz w:val="24"/>
          <w:szCs w:val="24"/>
        </w:rPr>
        <w:t xml:space="preserve"> se observa que el estadístico ha obtenido un valor de 0,</w:t>
      </w:r>
      <w:r w:rsidR="008034F9" w:rsidRPr="00AB4F72">
        <w:rPr>
          <w:rFonts w:ascii="Times New Roman" w:hAnsi="Times New Roman" w:cs="Times New Roman"/>
          <w:sz w:val="24"/>
          <w:szCs w:val="24"/>
        </w:rPr>
        <w:t>200</w:t>
      </w:r>
      <w:r w:rsidRPr="00AB4F72">
        <w:rPr>
          <w:rFonts w:ascii="Times New Roman" w:hAnsi="Times New Roman" w:cs="Times New Roman"/>
          <w:sz w:val="24"/>
          <w:szCs w:val="24"/>
        </w:rPr>
        <w:t xml:space="preserve"> para </w:t>
      </w:r>
      <w:r w:rsidR="008034F9" w:rsidRPr="00AB4F72">
        <w:rPr>
          <w:rFonts w:ascii="Times New Roman" w:hAnsi="Times New Roman" w:cs="Times New Roman"/>
          <w:sz w:val="24"/>
          <w:szCs w:val="24"/>
        </w:rPr>
        <w:t xml:space="preserve">antes del conflicto en Rusia y Ucrania </w:t>
      </w:r>
      <w:r w:rsidRPr="00AB4F72">
        <w:rPr>
          <w:rFonts w:ascii="Times New Roman" w:hAnsi="Times New Roman" w:cs="Times New Roman"/>
          <w:sz w:val="24"/>
          <w:szCs w:val="24"/>
        </w:rPr>
        <w:t>y 0,</w:t>
      </w:r>
      <w:r w:rsidR="008034F9" w:rsidRPr="00AB4F72">
        <w:rPr>
          <w:rFonts w:ascii="Times New Roman" w:hAnsi="Times New Roman" w:cs="Times New Roman"/>
          <w:sz w:val="24"/>
          <w:szCs w:val="24"/>
        </w:rPr>
        <w:t>200</w:t>
      </w:r>
      <w:r w:rsidRPr="00AB4F72">
        <w:rPr>
          <w:rFonts w:ascii="Times New Roman" w:hAnsi="Times New Roman" w:cs="Times New Roman"/>
          <w:sz w:val="24"/>
          <w:szCs w:val="24"/>
        </w:rPr>
        <w:t xml:space="preserve"> </w:t>
      </w:r>
      <w:r w:rsidR="008034F9" w:rsidRPr="00AB4F72">
        <w:rPr>
          <w:rFonts w:ascii="Times New Roman" w:hAnsi="Times New Roman" w:cs="Times New Roman"/>
          <w:sz w:val="24"/>
          <w:szCs w:val="24"/>
        </w:rPr>
        <w:t>durante el conflicto</w:t>
      </w:r>
      <w:r w:rsidRPr="00AB4F72">
        <w:rPr>
          <w:rFonts w:ascii="Times New Roman" w:hAnsi="Times New Roman" w:cs="Times New Roman"/>
          <w:sz w:val="24"/>
          <w:szCs w:val="24"/>
        </w:rPr>
        <w:t xml:space="preserve">, que el valor de la significación estadística (p) ha sido 0,200 para las dos situaciones, es decir mayor de 0,05 y por tanto se rechaza Ha. Aceptamos Ho, que significa que la variable </w:t>
      </w:r>
      <w:r w:rsidR="008034F9" w:rsidRPr="00AB4F72">
        <w:rPr>
          <w:rFonts w:ascii="Times New Roman" w:hAnsi="Times New Roman" w:cs="Times New Roman"/>
          <w:sz w:val="24"/>
          <w:szCs w:val="24"/>
        </w:rPr>
        <w:t>precio del petróleo Brent</w:t>
      </w:r>
      <w:r w:rsidRPr="00AB4F72">
        <w:rPr>
          <w:rFonts w:ascii="Times New Roman" w:hAnsi="Times New Roman" w:cs="Times New Roman"/>
          <w:sz w:val="24"/>
          <w:szCs w:val="24"/>
        </w:rPr>
        <w:t xml:space="preserve"> sigue una distribución normal.</w:t>
      </w:r>
    </w:p>
    <w:p w14:paraId="4BA23D8C" w14:textId="77777777" w:rsidR="00163C63" w:rsidRPr="00AB4F72" w:rsidRDefault="00163C63" w:rsidP="00D735BF">
      <w:pPr>
        <w:spacing w:line="360" w:lineRule="auto"/>
        <w:jc w:val="both"/>
        <w:rPr>
          <w:rFonts w:ascii="Times New Roman" w:hAnsi="Times New Roman" w:cs="Times New Roman"/>
          <w:sz w:val="24"/>
          <w:szCs w:val="24"/>
        </w:rPr>
      </w:pPr>
    </w:p>
    <w:p w14:paraId="12D2ED86" w14:textId="78AC3DBD" w:rsidR="00D735BF" w:rsidRPr="00AB4F72" w:rsidRDefault="00D735BF" w:rsidP="00163C63">
      <w:pPr>
        <w:autoSpaceDE w:val="0"/>
        <w:autoSpaceDN w:val="0"/>
        <w:adjustRightInd w:val="0"/>
        <w:spacing w:after="0" w:line="240" w:lineRule="auto"/>
        <w:jc w:val="center"/>
        <w:rPr>
          <w:rFonts w:ascii="Times New Roman" w:hAnsi="Times New Roman" w:cs="Times New Roman"/>
          <w:sz w:val="24"/>
          <w:szCs w:val="24"/>
        </w:rPr>
      </w:pPr>
      <w:r w:rsidRPr="00AB4F72">
        <w:rPr>
          <w:rFonts w:ascii="Times New Roman" w:hAnsi="Times New Roman" w:cs="Times New Roman"/>
          <w:b/>
          <w:bCs/>
          <w:sz w:val="24"/>
          <w:szCs w:val="24"/>
        </w:rPr>
        <w:t>Tabla 2</w:t>
      </w:r>
      <w:r w:rsidRPr="00AB4F72">
        <w:rPr>
          <w:rFonts w:ascii="Times New Roman" w:hAnsi="Times New Roman" w:cs="Times New Roman"/>
          <w:sz w:val="24"/>
          <w:szCs w:val="24"/>
        </w:rPr>
        <w:t>.  Prueba de normalidad</w:t>
      </w:r>
    </w:p>
    <w:tbl>
      <w:tblPr>
        <w:tblW w:w="8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291"/>
        <w:gridCol w:w="1230"/>
        <w:gridCol w:w="1030"/>
        <w:gridCol w:w="1030"/>
        <w:gridCol w:w="1230"/>
        <w:gridCol w:w="1030"/>
        <w:gridCol w:w="1030"/>
      </w:tblGrid>
      <w:tr w:rsidR="00D735BF" w:rsidRPr="00AB4F72" w14:paraId="2A9EE668" w14:textId="77777777" w:rsidTr="00E34C6B">
        <w:trPr>
          <w:cantSplit/>
          <w:jc w:val="center"/>
        </w:trPr>
        <w:tc>
          <w:tcPr>
            <w:tcW w:w="8725" w:type="dxa"/>
            <w:gridSpan w:val="8"/>
            <w:tcBorders>
              <w:top w:val="single" w:sz="4" w:space="0" w:color="auto"/>
              <w:left w:val="single" w:sz="4" w:space="0" w:color="auto"/>
              <w:bottom w:val="single" w:sz="8" w:space="0" w:color="152935"/>
              <w:right w:val="single" w:sz="4" w:space="0" w:color="auto"/>
            </w:tcBorders>
            <w:shd w:val="clear" w:color="auto" w:fill="FFFFFF"/>
            <w:vAlign w:val="center"/>
          </w:tcPr>
          <w:p w14:paraId="40EEF7A2"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p>
        </w:tc>
      </w:tr>
      <w:tr w:rsidR="00D735BF" w:rsidRPr="00AB4F72" w14:paraId="3030B3A4" w14:textId="77777777" w:rsidTr="00E34C6B">
        <w:trPr>
          <w:cantSplit/>
          <w:jc w:val="center"/>
        </w:trPr>
        <w:tc>
          <w:tcPr>
            <w:tcW w:w="860" w:type="dxa"/>
            <w:tcBorders>
              <w:left w:val="single" w:sz="4" w:space="0" w:color="auto"/>
              <w:bottom w:val="nil"/>
            </w:tcBorders>
          </w:tcPr>
          <w:p w14:paraId="2CF9F47B" w14:textId="77777777" w:rsidR="00D735BF" w:rsidRPr="00AB4F72" w:rsidRDefault="00D735BF" w:rsidP="00E34C6B">
            <w:pPr>
              <w:autoSpaceDE w:val="0"/>
              <w:autoSpaceDN w:val="0"/>
              <w:adjustRightInd w:val="0"/>
              <w:spacing w:after="0" w:line="240" w:lineRule="auto"/>
              <w:rPr>
                <w:rFonts w:ascii="Times New Roman" w:hAnsi="Times New Roman" w:cs="Times New Roman"/>
                <w:color w:val="010205"/>
                <w:sz w:val="24"/>
                <w:szCs w:val="24"/>
              </w:rPr>
            </w:pPr>
          </w:p>
        </w:tc>
        <w:tc>
          <w:tcPr>
            <w:tcW w:w="1291" w:type="dxa"/>
            <w:vMerge w:val="restart"/>
            <w:tcBorders>
              <w:top w:val="nil"/>
              <w:left w:val="nil"/>
              <w:bottom w:val="nil"/>
              <w:right w:val="nil"/>
            </w:tcBorders>
            <w:shd w:val="clear" w:color="auto" w:fill="FFFFFF"/>
            <w:vAlign w:val="bottom"/>
          </w:tcPr>
          <w:p w14:paraId="0C24DE37" w14:textId="15063A55" w:rsidR="00D735BF" w:rsidRPr="00AB4F72" w:rsidRDefault="00BB6714" w:rsidP="00E34C6B">
            <w:pPr>
              <w:autoSpaceDE w:val="0"/>
              <w:autoSpaceDN w:val="0"/>
              <w:adjustRightInd w:val="0"/>
              <w:spacing w:after="0" w:line="320" w:lineRule="atLeast"/>
              <w:ind w:left="60" w:right="60"/>
              <w:rPr>
                <w:rFonts w:ascii="Times New Roman" w:hAnsi="Times New Roman" w:cs="Times New Roman"/>
                <w:color w:val="264A60"/>
                <w:sz w:val="24"/>
                <w:szCs w:val="24"/>
              </w:rPr>
            </w:pPr>
            <w:r w:rsidRPr="00AB4F72">
              <w:rPr>
                <w:rFonts w:ascii="Times New Roman" w:hAnsi="Times New Roman" w:cs="Times New Roman"/>
                <w:color w:val="264A60"/>
                <w:sz w:val="24"/>
                <w:szCs w:val="24"/>
              </w:rPr>
              <w:t>Momento</w:t>
            </w:r>
          </w:p>
        </w:tc>
        <w:tc>
          <w:tcPr>
            <w:tcW w:w="3287" w:type="dxa"/>
            <w:gridSpan w:val="3"/>
            <w:tcBorders>
              <w:top w:val="nil"/>
              <w:left w:val="nil"/>
              <w:bottom w:val="nil"/>
              <w:right w:val="single" w:sz="4" w:space="0" w:color="auto"/>
            </w:tcBorders>
            <w:shd w:val="clear" w:color="auto" w:fill="FFFFFF"/>
            <w:vAlign w:val="bottom"/>
          </w:tcPr>
          <w:p w14:paraId="7D6D9B0D"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B4F72">
              <w:rPr>
                <w:rFonts w:ascii="Times New Roman" w:hAnsi="Times New Roman" w:cs="Times New Roman"/>
                <w:color w:val="264A60"/>
                <w:sz w:val="24"/>
                <w:szCs w:val="24"/>
              </w:rPr>
              <w:t>Kolmogórov-Smirnov</w:t>
            </w:r>
          </w:p>
        </w:tc>
        <w:tc>
          <w:tcPr>
            <w:tcW w:w="3287" w:type="dxa"/>
            <w:gridSpan w:val="3"/>
            <w:tcBorders>
              <w:top w:val="nil"/>
              <w:left w:val="single" w:sz="4" w:space="0" w:color="auto"/>
              <w:bottom w:val="nil"/>
              <w:right w:val="single" w:sz="4" w:space="0" w:color="auto"/>
            </w:tcBorders>
            <w:shd w:val="clear" w:color="auto" w:fill="FFFFFF"/>
            <w:vAlign w:val="bottom"/>
          </w:tcPr>
          <w:p w14:paraId="70E22EF7"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B4F72">
              <w:rPr>
                <w:rFonts w:ascii="Times New Roman" w:hAnsi="Times New Roman" w:cs="Times New Roman"/>
                <w:color w:val="264A60"/>
                <w:sz w:val="24"/>
                <w:szCs w:val="24"/>
              </w:rPr>
              <w:t>Shapiro-Wilk</w:t>
            </w:r>
          </w:p>
        </w:tc>
      </w:tr>
      <w:tr w:rsidR="00D735BF" w:rsidRPr="00AB4F72" w14:paraId="2011D43E" w14:textId="77777777" w:rsidTr="00E34C6B">
        <w:trPr>
          <w:cantSplit/>
          <w:jc w:val="center"/>
        </w:trPr>
        <w:tc>
          <w:tcPr>
            <w:tcW w:w="860" w:type="dxa"/>
            <w:tcBorders>
              <w:top w:val="nil"/>
              <w:left w:val="single" w:sz="4" w:space="0" w:color="auto"/>
              <w:bottom w:val="single" w:sz="8" w:space="0" w:color="152935"/>
            </w:tcBorders>
          </w:tcPr>
          <w:p w14:paraId="5768626F" w14:textId="77777777" w:rsidR="00D735BF" w:rsidRPr="00AB4F72" w:rsidRDefault="00D735BF" w:rsidP="00E34C6B">
            <w:pPr>
              <w:autoSpaceDE w:val="0"/>
              <w:autoSpaceDN w:val="0"/>
              <w:adjustRightInd w:val="0"/>
              <w:spacing w:after="0" w:line="240" w:lineRule="auto"/>
              <w:rPr>
                <w:rFonts w:ascii="Times New Roman" w:hAnsi="Times New Roman" w:cs="Times New Roman"/>
                <w:color w:val="264A60"/>
                <w:sz w:val="24"/>
                <w:szCs w:val="24"/>
              </w:rPr>
            </w:pPr>
          </w:p>
        </w:tc>
        <w:tc>
          <w:tcPr>
            <w:tcW w:w="1291" w:type="dxa"/>
            <w:vMerge/>
            <w:tcBorders>
              <w:top w:val="nil"/>
              <w:left w:val="nil"/>
              <w:bottom w:val="single" w:sz="8" w:space="0" w:color="152935"/>
              <w:right w:val="nil"/>
            </w:tcBorders>
            <w:shd w:val="clear" w:color="auto" w:fill="FFFFFF"/>
            <w:vAlign w:val="bottom"/>
          </w:tcPr>
          <w:p w14:paraId="5A951D94" w14:textId="77777777" w:rsidR="00D735BF" w:rsidRPr="00AB4F72" w:rsidRDefault="00D735BF" w:rsidP="00E34C6B">
            <w:pPr>
              <w:autoSpaceDE w:val="0"/>
              <w:autoSpaceDN w:val="0"/>
              <w:adjustRightInd w:val="0"/>
              <w:spacing w:after="0" w:line="240" w:lineRule="auto"/>
              <w:rPr>
                <w:rFonts w:ascii="Times New Roman" w:hAnsi="Times New Roman" w:cs="Times New Roman"/>
                <w:color w:val="264A60"/>
                <w:sz w:val="24"/>
                <w:szCs w:val="24"/>
              </w:rPr>
            </w:pPr>
          </w:p>
        </w:tc>
        <w:tc>
          <w:tcPr>
            <w:tcW w:w="1229" w:type="dxa"/>
            <w:tcBorders>
              <w:top w:val="nil"/>
              <w:left w:val="nil"/>
              <w:bottom w:val="single" w:sz="8" w:space="0" w:color="152935"/>
              <w:right w:val="single" w:sz="8" w:space="0" w:color="E0E0E0"/>
            </w:tcBorders>
            <w:shd w:val="clear" w:color="auto" w:fill="FFFFFF"/>
            <w:vAlign w:val="bottom"/>
          </w:tcPr>
          <w:p w14:paraId="259CAE21"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B4F72">
              <w:rPr>
                <w:rFonts w:ascii="Times New Roman" w:hAnsi="Times New Roman" w:cs="Times New Roman"/>
                <w:color w:val="264A60"/>
                <w:sz w:val="24"/>
                <w:szCs w:val="24"/>
              </w:rPr>
              <w:t>Estadístico</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6D0E908"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B4F72">
              <w:rPr>
                <w:rFonts w:ascii="Times New Roman" w:hAnsi="Times New Roman" w:cs="Times New Roman"/>
                <w:color w:val="264A60"/>
                <w:sz w:val="24"/>
                <w:szCs w:val="24"/>
              </w:rPr>
              <w:t>gl</w:t>
            </w:r>
          </w:p>
        </w:tc>
        <w:tc>
          <w:tcPr>
            <w:tcW w:w="1029" w:type="dxa"/>
            <w:tcBorders>
              <w:top w:val="nil"/>
              <w:left w:val="single" w:sz="8" w:space="0" w:color="E0E0E0"/>
              <w:bottom w:val="single" w:sz="8" w:space="0" w:color="152935"/>
              <w:right w:val="single" w:sz="4" w:space="0" w:color="auto"/>
            </w:tcBorders>
            <w:shd w:val="clear" w:color="auto" w:fill="FFFFFF"/>
            <w:vAlign w:val="bottom"/>
          </w:tcPr>
          <w:p w14:paraId="17887E7F"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B4F72">
              <w:rPr>
                <w:rFonts w:ascii="Times New Roman" w:hAnsi="Times New Roman" w:cs="Times New Roman"/>
                <w:color w:val="264A60"/>
                <w:sz w:val="24"/>
                <w:szCs w:val="24"/>
              </w:rPr>
              <w:t>Sig.</w:t>
            </w:r>
          </w:p>
        </w:tc>
        <w:tc>
          <w:tcPr>
            <w:tcW w:w="1229" w:type="dxa"/>
            <w:tcBorders>
              <w:top w:val="nil"/>
              <w:left w:val="single" w:sz="4" w:space="0" w:color="auto"/>
              <w:bottom w:val="single" w:sz="8" w:space="0" w:color="152935"/>
              <w:right w:val="single" w:sz="8" w:space="0" w:color="E0E0E0"/>
            </w:tcBorders>
            <w:shd w:val="clear" w:color="auto" w:fill="FFFFFF"/>
            <w:vAlign w:val="bottom"/>
          </w:tcPr>
          <w:p w14:paraId="6A699684"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B4F72">
              <w:rPr>
                <w:rFonts w:ascii="Times New Roman" w:hAnsi="Times New Roman" w:cs="Times New Roman"/>
                <w:color w:val="264A60"/>
                <w:sz w:val="24"/>
                <w:szCs w:val="24"/>
              </w:rPr>
              <w:t>Estadístico</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FC0319F"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B4F72">
              <w:rPr>
                <w:rFonts w:ascii="Times New Roman" w:hAnsi="Times New Roman" w:cs="Times New Roman"/>
                <w:color w:val="264A60"/>
                <w:sz w:val="24"/>
                <w:szCs w:val="24"/>
              </w:rPr>
              <w:t>gl</w:t>
            </w:r>
          </w:p>
        </w:tc>
        <w:tc>
          <w:tcPr>
            <w:tcW w:w="1029" w:type="dxa"/>
            <w:tcBorders>
              <w:top w:val="nil"/>
              <w:left w:val="single" w:sz="8" w:space="0" w:color="E0E0E0"/>
              <w:bottom w:val="single" w:sz="8" w:space="0" w:color="152935"/>
              <w:right w:val="single" w:sz="4" w:space="0" w:color="auto"/>
            </w:tcBorders>
            <w:shd w:val="clear" w:color="auto" w:fill="FFFFFF"/>
            <w:vAlign w:val="bottom"/>
          </w:tcPr>
          <w:p w14:paraId="3B3CA1A4"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B4F72">
              <w:rPr>
                <w:rFonts w:ascii="Times New Roman" w:hAnsi="Times New Roman" w:cs="Times New Roman"/>
                <w:color w:val="264A60"/>
                <w:sz w:val="24"/>
                <w:szCs w:val="24"/>
              </w:rPr>
              <w:t>Sig.</w:t>
            </w:r>
          </w:p>
        </w:tc>
      </w:tr>
      <w:tr w:rsidR="00D735BF" w:rsidRPr="00AB4F72" w14:paraId="28085018" w14:textId="77777777" w:rsidTr="00E34C6B">
        <w:trPr>
          <w:cantSplit/>
          <w:jc w:val="center"/>
        </w:trPr>
        <w:tc>
          <w:tcPr>
            <w:tcW w:w="860" w:type="dxa"/>
            <w:vMerge w:val="restart"/>
            <w:tcBorders>
              <w:top w:val="single" w:sz="8" w:space="0" w:color="152935"/>
              <w:left w:val="single" w:sz="4" w:space="0" w:color="auto"/>
              <w:bottom w:val="single" w:sz="8" w:space="0" w:color="152935"/>
              <w:right w:val="single" w:sz="4" w:space="0" w:color="auto"/>
            </w:tcBorders>
            <w:shd w:val="clear" w:color="auto" w:fill="E0E0E0"/>
            <w:vAlign w:val="center"/>
          </w:tcPr>
          <w:p w14:paraId="670802D2" w14:textId="4DCD2DEE" w:rsidR="00D735BF" w:rsidRPr="00AB4F72" w:rsidRDefault="00D4574E" w:rsidP="00D4574E">
            <w:pPr>
              <w:autoSpaceDE w:val="0"/>
              <w:autoSpaceDN w:val="0"/>
              <w:adjustRightInd w:val="0"/>
              <w:spacing w:after="0" w:line="240" w:lineRule="auto"/>
              <w:ind w:left="60" w:right="60"/>
              <w:rPr>
                <w:rFonts w:ascii="Times New Roman" w:hAnsi="Times New Roman" w:cs="Times New Roman"/>
                <w:color w:val="264A60"/>
                <w:sz w:val="24"/>
                <w:szCs w:val="24"/>
              </w:rPr>
            </w:pPr>
            <w:r w:rsidRPr="00AB4F72">
              <w:rPr>
                <w:rFonts w:ascii="Times New Roman" w:hAnsi="Times New Roman" w:cs="Times New Roman"/>
                <w:color w:val="264A60"/>
                <w:sz w:val="24"/>
                <w:szCs w:val="24"/>
              </w:rPr>
              <w:t>Precio Petróleo Brent</w:t>
            </w:r>
          </w:p>
        </w:tc>
        <w:tc>
          <w:tcPr>
            <w:tcW w:w="1291" w:type="dxa"/>
            <w:tcBorders>
              <w:top w:val="single" w:sz="8" w:space="0" w:color="152935"/>
              <w:left w:val="single" w:sz="4" w:space="0" w:color="auto"/>
              <w:bottom w:val="single" w:sz="8" w:space="0" w:color="AEAEAE"/>
              <w:right w:val="single" w:sz="4" w:space="0" w:color="auto"/>
            </w:tcBorders>
            <w:shd w:val="clear" w:color="auto" w:fill="E0E0E0"/>
          </w:tcPr>
          <w:p w14:paraId="39612A40" w14:textId="50C922CA" w:rsidR="00D735BF" w:rsidRPr="00AB4F72" w:rsidRDefault="00BB6714" w:rsidP="00E34C6B">
            <w:pPr>
              <w:autoSpaceDE w:val="0"/>
              <w:autoSpaceDN w:val="0"/>
              <w:adjustRightInd w:val="0"/>
              <w:spacing w:after="0" w:line="320" w:lineRule="atLeast"/>
              <w:ind w:left="60" w:right="60"/>
              <w:rPr>
                <w:rFonts w:ascii="Times New Roman" w:hAnsi="Times New Roman" w:cs="Times New Roman"/>
                <w:color w:val="264A60"/>
                <w:sz w:val="24"/>
                <w:szCs w:val="24"/>
              </w:rPr>
            </w:pPr>
            <w:r w:rsidRPr="00AB4F72">
              <w:rPr>
                <w:rFonts w:ascii="Times New Roman" w:hAnsi="Times New Roman" w:cs="Times New Roman"/>
                <w:color w:val="264A60"/>
                <w:sz w:val="24"/>
                <w:szCs w:val="24"/>
              </w:rPr>
              <w:t>Antes</w:t>
            </w:r>
          </w:p>
        </w:tc>
        <w:tc>
          <w:tcPr>
            <w:tcW w:w="1229" w:type="dxa"/>
            <w:tcBorders>
              <w:top w:val="single" w:sz="8" w:space="0" w:color="152935"/>
              <w:left w:val="single" w:sz="4" w:space="0" w:color="auto"/>
              <w:bottom w:val="single" w:sz="8" w:space="0" w:color="AEAEAE"/>
              <w:right w:val="single" w:sz="4" w:space="0" w:color="auto"/>
            </w:tcBorders>
            <w:shd w:val="clear" w:color="auto" w:fill="FFFFFF"/>
          </w:tcPr>
          <w:p w14:paraId="5F9EABAB" w14:textId="46F0583E"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w:t>
            </w:r>
            <w:r w:rsidR="00366A71" w:rsidRPr="00AB4F72">
              <w:rPr>
                <w:rFonts w:ascii="Times New Roman" w:hAnsi="Times New Roman" w:cs="Times New Roman"/>
                <w:color w:val="010205"/>
                <w:sz w:val="24"/>
                <w:szCs w:val="24"/>
              </w:rPr>
              <w:t>077</w:t>
            </w:r>
          </w:p>
        </w:tc>
        <w:tc>
          <w:tcPr>
            <w:tcW w:w="1029" w:type="dxa"/>
            <w:tcBorders>
              <w:top w:val="single" w:sz="8" w:space="0" w:color="152935"/>
              <w:left w:val="single" w:sz="4" w:space="0" w:color="auto"/>
              <w:bottom w:val="single" w:sz="8" w:space="0" w:color="AEAEAE"/>
              <w:right w:val="single" w:sz="4" w:space="0" w:color="auto"/>
            </w:tcBorders>
            <w:shd w:val="clear" w:color="auto" w:fill="FFFFFF"/>
          </w:tcPr>
          <w:p w14:paraId="652CB7D4" w14:textId="76EBAFB9"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3</w:t>
            </w:r>
            <w:r w:rsidR="00366A71" w:rsidRPr="00AB4F72">
              <w:rPr>
                <w:rFonts w:ascii="Times New Roman" w:hAnsi="Times New Roman" w:cs="Times New Roman"/>
                <w:color w:val="010205"/>
                <w:sz w:val="24"/>
                <w:szCs w:val="24"/>
              </w:rPr>
              <w:t>8</w:t>
            </w:r>
          </w:p>
        </w:tc>
        <w:tc>
          <w:tcPr>
            <w:tcW w:w="1029" w:type="dxa"/>
            <w:tcBorders>
              <w:top w:val="single" w:sz="8" w:space="0" w:color="152935"/>
              <w:left w:val="single" w:sz="4" w:space="0" w:color="auto"/>
              <w:bottom w:val="single" w:sz="8" w:space="0" w:color="AEAEAE"/>
              <w:right w:val="single" w:sz="4" w:space="0" w:color="auto"/>
            </w:tcBorders>
            <w:shd w:val="clear" w:color="auto" w:fill="FFFFFF"/>
          </w:tcPr>
          <w:p w14:paraId="7F9531C1"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,200</w:t>
            </w:r>
            <w:r w:rsidRPr="00AB4F72">
              <w:rPr>
                <w:rFonts w:ascii="Times New Roman" w:hAnsi="Times New Roman" w:cs="Times New Roman"/>
                <w:color w:val="010205"/>
                <w:sz w:val="24"/>
                <w:szCs w:val="24"/>
                <w:vertAlign w:val="superscript"/>
              </w:rPr>
              <w:t>*</w:t>
            </w:r>
          </w:p>
        </w:tc>
        <w:tc>
          <w:tcPr>
            <w:tcW w:w="1229" w:type="dxa"/>
            <w:tcBorders>
              <w:top w:val="single" w:sz="8" w:space="0" w:color="152935"/>
              <w:left w:val="single" w:sz="4" w:space="0" w:color="auto"/>
              <w:bottom w:val="single" w:sz="8" w:space="0" w:color="AEAEAE"/>
              <w:right w:val="single" w:sz="4" w:space="0" w:color="auto"/>
            </w:tcBorders>
            <w:shd w:val="clear" w:color="auto" w:fill="FFFFFF"/>
          </w:tcPr>
          <w:p w14:paraId="19A2AEFA" w14:textId="2627882B"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,96</w:t>
            </w:r>
            <w:r w:rsidR="00366A71" w:rsidRPr="00AB4F72">
              <w:rPr>
                <w:rFonts w:ascii="Times New Roman" w:hAnsi="Times New Roman" w:cs="Times New Roman"/>
                <w:color w:val="010205"/>
                <w:sz w:val="24"/>
                <w:szCs w:val="24"/>
              </w:rPr>
              <w:t>5</w:t>
            </w:r>
          </w:p>
        </w:tc>
        <w:tc>
          <w:tcPr>
            <w:tcW w:w="1029" w:type="dxa"/>
            <w:tcBorders>
              <w:top w:val="single" w:sz="8" w:space="0" w:color="152935"/>
              <w:left w:val="single" w:sz="4" w:space="0" w:color="auto"/>
              <w:bottom w:val="single" w:sz="8" w:space="0" w:color="AEAEAE"/>
              <w:right w:val="single" w:sz="4" w:space="0" w:color="auto"/>
            </w:tcBorders>
            <w:shd w:val="clear" w:color="auto" w:fill="FFFFFF"/>
          </w:tcPr>
          <w:p w14:paraId="111F7C06" w14:textId="711CB33D"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3</w:t>
            </w:r>
            <w:r w:rsidR="00366A71" w:rsidRPr="00AB4F72">
              <w:rPr>
                <w:rFonts w:ascii="Times New Roman" w:hAnsi="Times New Roman" w:cs="Times New Roman"/>
                <w:color w:val="010205"/>
                <w:sz w:val="24"/>
                <w:szCs w:val="24"/>
              </w:rPr>
              <w:t>8</w:t>
            </w:r>
          </w:p>
        </w:tc>
        <w:tc>
          <w:tcPr>
            <w:tcW w:w="1029" w:type="dxa"/>
            <w:tcBorders>
              <w:top w:val="single" w:sz="8" w:space="0" w:color="152935"/>
              <w:left w:val="single" w:sz="4" w:space="0" w:color="auto"/>
              <w:bottom w:val="single" w:sz="8" w:space="0" w:color="AEAEAE"/>
              <w:right w:val="single" w:sz="4" w:space="0" w:color="auto"/>
            </w:tcBorders>
            <w:shd w:val="clear" w:color="auto" w:fill="FFFFFF"/>
          </w:tcPr>
          <w:p w14:paraId="7FE5A56D" w14:textId="2DC1AE52"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w:t>
            </w:r>
            <w:r w:rsidR="00366A71" w:rsidRPr="00AB4F72">
              <w:rPr>
                <w:rFonts w:ascii="Times New Roman" w:hAnsi="Times New Roman" w:cs="Times New Roman"/>
                <w:color w:val="010205"/>
                <w:sz w:val="24"/>
                <w:szCs w:val="24"/>
              </w:rPr>
              <w:t>284</w:t>
            </w:r>
          </w:p>
        </w:tc>
      </w:tr>
      <w:tr w:rsidR="00D735BF" w:rsidRPr="00AB4F72" w14:paraId="64958F85" w14:textId="77777777" w:rsidTr="00E34C6B">
        <w:trPr>
          <w:cantSplit/>
          <w:jc w:val="center"/>
        </w:trPr>
        <w:tc>
          <w:tcPr>
            <w:tcW w:w="860" w:type="dxa"/>
            <w:vMerge/>
            <w:tcBorders>
              <w:top w:val="single" w:sz="8" w:space="0" w:color="152935"/>
              <w:left w:val="single" w:sz="4" w:space="0" w:color="auto"/>
              <w:bottom w:val="single" w:sz="8" w:space="0" w:color="152935"/>
              <w:right w:val="single" w:sz="4" w:space="0" w:color="auto"/>
            </w:tcBorders>
            <w:shd w:val="clear" w:color="auto" w:fill="E0E0E0"/>
          </w:tcPr>
          <w:p w14:paraId="61F5682E" w14:textId="77777777" w:rsidR="00D735BF" w:rsidRPr="00AB4F72" w:rsidRDefault="00D735BF" w:rsidP="00E34C6B">
            <w:pPr>
              <w:autoSpaceDE w:val="0"/>
              <w:autoSpaceDN w:val="0"/>
              <w:adjustRightInd w:val="0"/>
              <w:spacing w:after="0" w:line="240" w:lineRule="auto"/>
              <w:rPr>
                <w:rFonts w:ascii="Times New Roman" w:hAnsi="Times New Roman" w:cs="Times New Roman"/>
                <w:color w:val="010205"/>
                <w:sz w:val="24"/>
                <w:szCs w:val="24"/>
              </w:rPr>
            </w:pPr>
          </w:p>
        </w:tc>
        <w:tc>
          <w:tcPr>
            <w:tcW w:w="1291" w:type="dxa"/>
            <w:tcBorders>
              <w:top w:val="single" w:sz="8" w:space="0" w:color="AEAEAE"/>
              <w:left w:val="single" w:sz="4" w:space="0" w:color="auto"/>
              <w:bottom w:val="single" w:sz="8" w:space="0" w:color="152935"/>
              <w:right w:val="single" w:sz="4" w:space="0" w:color="auto"/>
            </w:tcBorders>
            <w:shd w:val="clear" w:color="auto" w:fill="E0E0E0"/>
          </w:tcPr>
          <w:p w14:paraId="1EAAA725" w14:textId="6825C959" w:rsidR="00D735BF" w:rsidRPr="00AB4F72" w:rsidRDefault="0042555A" w:rsidP="00E34C6B">
            <w:pPr>
              <w:autoSpaceDE w:val="0"/>
              <w:autoSpaceDN w:val="0"/>
              <w:adjustRightInd w:val="0"/>
              <w:spacing w:after="0" w:line="320" w:lineRule="atLeast"/>
              <w:ind w:left="60" w:right="60"/>
              <w:rPr>
                <w:rFonts w:ascii="Times New Roman" w:hAnsi="Times New Roman" w:cs="Times New Roman"/>
                <w:color w:val="264A60"/>
                <w:sz w:val="24"/>
                <w:szCs w:val="24"/>
              </w:rPr>
            </w:pPr>
            <w:r w:rsidRPr="00AB4F72">
              <w:rPr>
                <w:rFonts w:ascii="Times New Roman" w:hAnsi="Times New Roman" w:cs="Times New Roman"/>
                <w:color w:val="264A60"/>
                <w:sz w:val="24"/>
                <w:szCs w:val="24"/>
              </w:rPr>
              <w:t>Conflicto</w:t>
            </w:r>
          </w:p>
        </w:tc>
        <w:tc>
          <w:tcPr>
            <w:tcW w:w="1229" w:type="dxa"/>
            <w:tcBorders>
              <w:top w:val="single" w:sz="8" w:space="0" w:color="AEAEAE"/>
              <w:left w:val="single" w:sz="4" w:space="0" w:color="auto"/>
              <w:bottom w:val="single" w:sz="8" w:space="0" w:color="152935"/>
              <w:right w:val="single" w:sz="4" w:space="0" w:color="auto"/>
            </w:tcBorders>
            <w:shd w:val="clear" w:color="auto" w:fill="FFFFFF"/>
          </w:tcPr>
          <w:p w14:paraId="13DB08A4" w14:textId="25A8004D"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w:t>
            </w:r>
            <w:r w:rsidR="00366A71" w:rsidRPr="00AB4F72">
              <w:rPr>
                <w:rFonts w:ascii="Times New Roman" w:hAnsi="Times New Roman" w:cs="Times New Roman"/>
                <w:color w:val="010205"/>
                <w:sz w:val="24"/>
                <w:szCs w:val="24"/>
              </w:rPr>
              <w:t>0</w:t>
            </w:r>
            <w:r w:rsidR="0042555A" w:rsidRPr="00AB4F72">
              <w:rPr>
                <w:rFonts w:ascii="Times New Roman" w:hAnsi="Times New Roman" w:cs="Times New Roman"/>
                <w:color w:val="010205"/>
                <w:sz w:val="24"/>
                <w:szCs w:val="24"/>
              </w:rPr>
              <w:t>62</w:t>
            </w:r>
          </w:p>
        </w:tc>
        <w:tc>
          <w:tcPr>
            <w:tcW w:w="1029" w:type="dxa"/>
            <w:tcBorders>
              <w:top w:val="single" w:sz="8" w:space="0" w:color="AEAEAE"/>
              <w:left w:val="single" w:sz="4" w:space="0" w:color="auto"/>
              <w:bottom w:val="single" w:sz="8" w:space="0" w:color="152935"/>
              <w:right w:val="single" w:sz="4" w:space="0" w:color="auto"/>
            </w:tcBorders>
            <w:shd w:val="clear" w:color="auto" w:fill="FFFFFF"/>
          </w:tcPr>
          <w:p w14:paraId="54E73905" w14:textId="47051F3C" w:rsidR="00D735BF" w:rsidRPr="00AB4F72" w:rsidRDefault="0042555A"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72</w:t>
            </w:r>
          </w:p>
        </w:tc>
        <w:tc>
          <w:tcPr>
            <w:tcW w:w="1029" w:type="dxa"/>
            <w:tcBorders>
              <w:top w:val="single" w:sz="8" w:space="0" w:color="AEAEAE"/>
              <w:left w:val="single" w:sz="4" w:space="0" w:color="auto"/>
              <w:bottom w:val="single" w:sz="8" w:space="0" w:color="152935"/>
              <w:right w:val="single" w:sz="4" w:space="0" w:color="auto"/>
            </w:tcBorders>
            <w:shd w:val="clear" w:color="auto" w:fill="FFFFFF"/>
          </w:tcPr>
          <w:p w14:paraId="45834C8F" w14:textId="77777777"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,200</w:t>
            </w:r>
            <w:r w:rsidRPr="00AB4F72">
              <w:rPr>
                <w:rFonts w:ascii="Times New Roman" w:hAnsi="Times New Roman" w:cs="Times New Roman"/>
                <w:color w:val="010205"/>
                <w:sz w:val="24"/>
                <w:szCs w:val="24"/>
                <w:vertAlign w:val="superscript"/>
              </w:rPr>
              <w:t>*</w:t>
            </w:r>
          </w:p>
        </w:tc>
        <w:tc>
          <w:tcPr>
            <w:tcW w:w="1229" w:type="dxa"/>
            <w:tcBorders>
              <w:top w:val="single" w:sz="8" w:space="0" w:color="AEAEAE"/>
              <w:left w:val="single" w:sz="4" w:space="0" w:color="auto"/>
              <w:bottom w:val="single" w:sz="8" w:space="0" w:color="152935"/>
              <w:right w:val="single" w:sz="4" w:space="0" w:color="auto"/>
            </w:tcBorders>
            <w:shd w:val="clear" w:color="auto" w:fill="FFFFFF"/>
          </w:tcPr>
          <w:p w14:paraId="591CD853" w14:textId="4DE7DA63"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,9</w:t>
            </w:r>
            <w:r w:rsidR="0042555A" w:rsidRPr="00AB4F72">
              <w:rPr>
                <w:rFonts w:ascii="Times New Roman" w:hAnsi="Times New Roman" w:cs="Times New Roman"/>
                <w:color w:val="010205"/>
                <w:sz w:val="24"/>
                <w:szCs w:val="24"/>
              </w:rPr>
              <w:t>82</w:t>
            </w:r>
          </w:p>
        </w:tc>
        <w:tc>
          <w:tcPr>
            <w:tcW w:w="1029" w:type="dxa"/>
            <w:tcBorders>
              <w:top w:val="single" w:sz="8" w:space="0" w:color="AEAEAE"/>
              <w:left w:val="single" w:sz="4" w:space="0" w:color="auto"/>
              <w:bottom w:val="single" w:sz="8" w:space="0" w:color="152935"/>
              <w:right w:val="single" w:sz="4" w:space="0" w:color="auto"/>
            </w:tcBorders>
            <w:shd w:val="clear" w:color="auto" w:fill="FFFFFF"/>
          </w:tcPr>
          <w:p w14:paraId="42A3C1D7" w14:textId="4113C733" w:rsidR="00D735BF" w:rsidRPr="00AB4F72" w:rsidRDefault="0042555A"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72</w:t>
            </w:r>
          </w:p>
        </w:tc>
        <w:tc>
          <w:tcPr>
            <w:tcW w:w="1029" w:type="dxa"/>
            <w:tcBorders>
              <w:top w:val="single" w:sz="8" w:space="0" w:color="AEAEAE"/>
              <w:left w:val="single" w:sz="4" w:space="0" w:color="auto"/>
              <w:bottom w:val="single" w:sz="8" w:space="0" w:color="152935"/>
              <w:right w:val="single" w:sz="4" w:space="0" w:color="auto"/>
            </w:tcBorders>
            <w:shd w:val="clear" w:color="auto" w:fill="FFFFFF"/>
          </w:tcPr>
          <w:p w14:paraId="1F503F35" w14:textId="4CFEB569" w:rsidR="00D735BF" w:rsidRPr="00AB4F72" w:rsidRDefault="00D735BF" w:rsidP="00E34C6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AB4F72">
              <w:rPr>
                <w:rFonts w:ascii="Times New Roman" w:hAnsi="Times New Roman" w:cs="Times New Roman"/>
                <w:color w:val="010205"/>
                <w:sz w:val="24"/>
                <w:szCs w:val="24"/>
              </w:rPr>
              <w:t>,</w:t>
            </w:r>
            <w:r w:rsidR="0042555A" w:rsidRPr="00AB4F72">
              <w:rPr>
                <w:rFonts w:ascii="Times New Roman" w:hAnsi="Times New Roman" w:cs="Times New Roman"/>
                <w:color w:val="010205"/>
                <w:sz w:val="24"/>
                <w:szCs w:val="24"/>
              </w:rPr>
              <w:t>396</w:t>
            </w:r>
          </w:p>
        </w:tc>
      </w:tr>
      <w:tr w:rsidR="00D735BF" w:rsidRPr="00AB4F72" w14:paraId="19448F58" w14:textId="77777777" w:rsidTr="00E34C6B">
        <w:trPr>
          <w:cantSplit/>
          <w:jc w:val="center"/>
        </w:trPr>
        <w:tc>
          <w:tcPr>
            <w:tcW w:w="8725" w:type="dxa"/>
            <w:gridSpan w:val="8"/>
            <w:tcBorders>
              <w:top w:val="nil"/>
              <w:left w:val="nil"/>
              <w:bottom w:val="nil"/>
              <w:right w:val="nil"/>
            </w:tcBorders>
            <w:shd w:val="clear" w:color="auto" w:fill="FFFFFF"/>
          </w:tcPr>
          <w:p w14:paraId="58AFD528" w14:textId="77777777" w:rsidR="00D735BF" w:rsidRPr="00AB4F72" w:rsidRDefault="00D735BF" w:rsidP="00E34C6B">
            <w:pPr>
              <w:autoSpaceDE w:val="0"/>
              <w:autoSpaceDN w:val="0"/>
              <w:adjustRightInd w:val="0"/>
              <w:spacing w:after="0" w:line="240" w:lineRule="auto"/>
              <w:ind w:left="60" w:right="60"/>
              <w:rPr>
                <w:rFonts w:ascii="Times New Roman" w:hAnsi="Times New Roman" w:cs="Times New Roman"/>
                <w:color w:val="010205"/>
                <w:sz w:val="24"/>
                <w:szCs w:val="24"/>
              </w:rPr>
            </w:pPr>
          </w:p>
          <w:p w14:paraId="6C913253" w14:textId="77777777" w:rsidR="00D735BF" w:rsidRPr="00AB4F72" w:rsidRDefault="00D735BF" w:rsidP="00E34C6B">
            <w:pPr>
              <w:autoSpaceDE w:val="0"/>
              <w:autoSpaceDN w:val="0"/>
              <w:adjustRightInd w:val="0"/>
              <w:spacing w:after="0" w:line="240" w:lineRule="auto"/>
              <w:ind w:left="60" w:right="60"/>
              <w:rPr>
                <w:rFonts w:ascii="Times New Roman" w:hAnsi="Times New Roman" w:cs="Times New Roman"/>
                <w:color w:val="010205"/>
                <w:sz w:val="24"/>
                <w:szCs w:val="24"/>
              </w:rPr>
            </w:pPr>
            <w:r w:rsidRPr="00AB4F72">
              <w:rPr>
                <w:rFonts w:ascii="Times New Roman" w:hAnsi="Times New Roman" w:cs="Times New Roman"/>
                <w:color w:val="010205"/>
                <w:sz w:val="24"/>
                <w:szCs w:val="24"/>
              </w:rPr>
              <w:t>*. Esto es un límite inferior de la significación verdadera.</w:t>
            </w:r>
          </w:p>
        </w:tc>
      </w:tr>
      <w:tr w:rsidR="00D735BF" w:rsidRPr="00AB4F72" w14:paraId="711D1F65" w14:textId="77777777" w:rsidTr="00E34C6B">
        <w:trPr>
          <w:cantSplit/>
          <w:jc w:val="center"/>
        </w:trPr>
        <w:tc>
          <w:tcPr>
            <w:tcW w:w="8725" w:type="dxa"/>
            <w:gridSpan w:val="8"/>
            <w:tcBorders>
              <w:top w:val="nil"/>
              <w:left w:val="nil"/>
              <w:bottom w:val="nil"/>
              <w:right w:val="nil"/>
            </w:tcBorders>
            <w:shd w:val="clear" w:color="auto" w:fill="FFFFFF"/>
          </w:tcPr>
          <w:p w14:paraId="763BD9BD" w14:textId="77777777" w:rsidR="00D735BF" w:rsidRPr="00AB4F72" w:rsidRDefault="00D735BF" w:rsidP="00E34C6B">
            <w:pPr>
              <w:autoSpaceDE w:val="0"/>
              <w:autoSpaceDN w:val="0"/>
              <w:adjustRightInd w:val="0"/>
              <w:spacing w:after="0" w:line="240" w:lineRule="auto"/>
              <w:ind w:left="60" w:right="60"/>
              <w:rPr>
                <w:rFonts w:ascii="Times New Roman" w:hAnsi="Times New Roman" w:cs="Times New Roman"/>
                <w:color w:val="010205"/>
                <w:sz w:val="24"/>
                <w:szCs w:val="24"/>
              </w:rPr>
            </w:pPr>
            <w:r w:rsidRPr="00AB4F72">
              <w:rPr>
                <w:rFonts w:ascii="Times New Roman" w:hAnsi="Times New Roman" w:cs="Times New Roman"/>
                <w:color w:val="010205"/>
                <w:sz w:val="24"/>
                <w:szCs w:val="24"/>
              </w:rPr>
              <w:t>a. Corrección de significación de Lilliefors</w:t>
            </w:r>
          </w:p>
        </w:tc>
      </w:tr>
    </w:tbl>
    <w:p w14:paraId="0DFB0491" w14:textId="2BC33EE9" w:rsidR="00D735BF" w:rsidRDefault="00D735BF" w:rsidP="00D735BF">
      <w:pPr>
        <w:spacing w:line="360" w:lineRule="auto"/>
        <w:jc w:val="both"/>
        <w:rPr>
          <w:rFonts w:ascii="Times New Roman" w:hAnsi="Times New Roman" w:cs="Times New Roman"/>
          <w:sz w:val="24"/>
          <w:szCs w:val="24"/>
        </w:rPr>
      </w:pPr>
    </w:p>
    <w:p w14:paraId="1B4C469D" w14:textId="77777777" w:rsidR="00D735BF" w:rsidRPr="00AB4F72" w:rsidRDefault="00D735BF"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b/>
          <w:bCs/>
          <w:sz w:val="24"/>
          <w:szCs w:val="24"/>
        </w:rPr>
        <w:t>Diagrama de caja</w:t>
      </w:r>
    </w:p>
    <w:p w14:paraId="583DC535" w14:textId="354F90EC"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La </w:t>
      </w:r>
      <w:r w:rsidRPr="00AB4F72">
        <w:rPr>
          <w:rFonts w:ascii="Times New Roman" w:hAnsi="Times New Roman" w:cs="Times New Roman"/>
          <w:b/>
          <w:sz w:val="24"/>
          <w:szCs w:val="24"/>
        </w:rPr>
        <w:t xml:space="preserve">figura </w:t>
      </w:r>
      <w:r w:rsidR="00444E3E" w:rsidRPr="00AB4F72">
        <w:rPr>
          <w:rFonts w:ascii="Times New Roman" w:hAnsi="Times New Roman" w:cs="Times New Roman"/>
          <w:b/>
          <w:sz w:val="24"/>
          <w:szCs w:val="24"/>
        </w:rPr>
        <w:t>1</w:t>
      </w:r>
      <w:r w:rsidRPr="00AB4F72">
        <w:rPr>
          <w:rFonts w:ascii="Times New Roman" w:hAnsi="Times New Roman" w:cs="Times New Roman"/>
          <w:b/>
          <w:sz w:val="24"/>
          <w:szCs w:val="24"/>
        </w:rPr>
        <w:t xml:space="preserve"> </w:t>
      </w:r>
      <w:r w:rsidRPr="00AB4F72">
        <w:rPr>
          <w:rFonts w:ascii="Times New Roman" w:hAnsi="Times New Roman" w:cs="Times New Roman"/>
          <w:sz w:val="24"/>
          <w:szCs w:val="24"/>
        </w:rPr>
        <w:t xml:space="preserve">describe los detalles de un diagrama de caja que involucra la mediana, los percentiles 25 y 75 (en realidad son las bisagras de Tukey) y una serie de valores (atípicos, extremos).  En nuestro caso el percentil 25 para </w:t>
      </w:r>
      <w:r w:rsidR="006A2725" w:rsidRPr="00AB4F72">
        <w:rPr>
          <w:rFonts w:ascii="Times New Roman" w:hAnsi="Times New Roman" w:cs="Times New Roman"/>
          <w:sz w:val="24"/>
          <w:szCs w:val="24"/>
        </w:rPr>
        <w:t>antes del conflicto</w:t>
      </w:r>
      <w:r w:rsidRPr="00AB4F72">
        <w:rPr>
          <w:rFonts w:ascii="Times New Roman" w:hAnsi="Times New Roman" w:cs="Times New Roman"/>
          <w:sz w:val="24"/>
          <w:szCs w:val="24"/>
        </w:rPr>
        <w:t xml:space="preserve"> es igual a </w:t>
      </w:r>
      <w:r w:rsidR="006A2725" w:rsidRPr="00AB4F72">
        <w:rPr>
          <w:rFonts w:ascii="Times New Roman" w:hAnsi="Times New Roman" w:cs="Times New Roman"/>
          <w:sz w:val="24"/>
          <w:szCs w:val="24"/>
        </w:rPr>
        <w:t>85,71,</w:t>
      </w:r>
      <w:r w:rsidRPr="00AB4F72">
        <w:rPr>
          <w:rFonts w:ascii="Times New Roman" w:hAnsi="Times New Roman" w:cs="Times New Roman"/>
          <w:sz w:val="24"/>
          <w:szCs w:val="24"/>
        </w:rPr>
        <w:t xml:space="preserve"> el percentil 50 a </w:t>
      </w:r>
      <w:r w:rsidR="006A2725" w:rsidRPr="00AB4F72">
        <w:rPr>
          <w:rFonts w:ascii="Times New Roman" w:hAnsi="Times New Roman" w:cs="Times New Roman"/>
          <w:sz w:val="24"/>
          <w:szCs w:val="24"/>
        </w:rPr>
        <w:t>88,95</w:t>
      </w:r>
      <w:r w:rsidRPr="00AB4F72">
        <w:rPr>
          <w:rFonts w:ascii="Times New Roman" w:hAnsi="Times New Roman" w:cs="Times New Roman"/>
          <w:sz w:val="24"/>
          <w:szCs w:val="24"/>
        </w:rPr>
        <w:t xml:space="preserve"> y el percentil 75 a </w:t>
      </w:r>
      <w:r w:rsidR="006A2725" w:rsidRPr="00AB4F72">
        <w:rPr>
          <w:rFonts w:ascii="Times New Roman" w:hAnsi="Times New Roman" w:cs="Times New Roman"/>
          <w:sz w:val="24"/>
          <w:szCs w:val="24"/>
        </w:rPr>
        <w:t>93,04</w:t>
      </w:r>
      <w:r w:rsidRPr="00AB4F72">
        <w:rPr>
          <w:rFonts w:ascii="Times New Roman" w:hAnsi="Times New Roman" w:cs="Times New Roman"/>
          <w:sz w:val="24"/>
          <w:szCs w:val="24"/>
        </w:rPr>
        <w:t xml:space="preserve">, para el caso </w:t>
      </w:r>
      <w:r w:rsidR="006A2725" w:rsidRPr="00AB4F72">
        <w:rPr>
          <w:rFonts w:ascii="Times New Roman" w:hAnsi="Times New Roman" w:cs="Times New Roman"/>
          <w:sz w:val="24"/>
          <w:szCs w:val="24"/>
        </w:rPr>
        <w:t>durante el conflicto</w:t>
      </w:r>
      <w:r w:rsidRPr="00AB4F72">
        <w:rPr>
          <w:rFonts w:ascii="Times New Roman" w:hAnsi="Times New Roman" w:cs="Times New Roman"/>
          <w:sz w:val="24"/>
          <w:szCs w:val="24"/>
        </w:rPr>
        <w:t xml:space="preserve"> el percentil 25 es igual a </w:t>
      </w:r>
      <w:r w:rsidR="00BD390F" w:rsidRPr="00AB4F72">
        <w:rPr>
          <w:rFonts w:ascii="Times New Roman" w:hAnsi="Times New Roman" w:cs="Times New Roman"/>
          <w:sz w:val="24"/>
          <w:szCs w:val="24"/>
        </w:rPr>
        <w:t>104,79</w:t>
      </w:r>
      <w:r w:rsidRPr="00AB4F72">
        <w:rPr>
          <w:rFonts w:ascii="Times New Roman" w:hAnsi="Times New Roman" w:cs="Times New Roman"/>
          <w:sz w:val="24"/>
          <w:szCs w:val="24"/>
        </w:rPr>
        <w:t xml:space="preserve">, el 50 a </w:t>
      </w:r>
      <w:r w:rsidR="00BD390F" w:rsidRPr="00AB4F72">
        <w:rPr>
          <w:rFonts w:ascii="Times New Roman" w:hAnsi="Times New Roman" w:cs="Times New Roman"/>
          <w:sz w:val="24"/>
          <w:szCs w:val="24"/>
        </w:rPr>
        <w:t>107,91</w:t>
      </w:r>
      <w:r w:rsidRPr="00AB4F72">
        <w:rPr>
          <w:rFonts w:ascii="Times New Roman" w:hAnsi="Times New Roman" w:cs="Times New Roman"/>
          <w:sz w:val="24"/>
          <w:szCs w:val="24"/>
        </w:rPr>
        <w:t xml:space="preserve"> y el 75 a </w:t>
      </w:r>
      <w:r w:rsidR="00BD390F" w:rsidRPr="00AB4F72">
        <w:rPr>
          <w:rFonts w:ascii="Times New Roman" w:hAnsi="Times New Roman" w:cs="Times New Roman"/>
          <w:sz w:val="24"/>
          <w:szCs w:val="24"/>
        </w:rPr>
        <w:t>112,21</w:t>
      </w:r>
      <w:r w:rsidRPr="00AB4F72">
        <w:rPr>
          <w:rFonts w:ascii="Times New Roman" w:hAnsi="Times New Roman" w:cs="Times New Roman"/>
          <w:sz w:val="24"/>
          <w:szCs w:val="24"/>
        </w:rPr>
        <w:t>.</w:t>
      </w:r>
    </w:p>
    <w:p w14:paraId="0FE10D53" w14:textId="77751EEE" w:rsidR="009707B5" w:rsidRPr="00AB4F72" w:rsidRDefault="009707B5" w:rsidP="009707B5">
      <w:pPr>
        <w:autoSpaceDE w:val="0"/>
        <w:autoSpaceDN w:val="0"/>
        <w:adjustRightInd w:val="0"/>
        <w:spacing w:after="0" w:line="240" w:lineRule="auto"/>
        <w:rPr>
          <w:rFonts w:ascii="Times New Roman" w:hAnsi="Times New Roman" w:cs="Times New Roman"/>
          <w:sz w:val="24"/>
          <w:szCs w:val="24"/>
        </w:rPr>
      </w:pPr>
      <w:r w:rsidRPr="00AB4F72">
        <w:rPr>
          <w:rFonts w:ascii="Times New Roman" w:hAnsi="Times New Roman" w:cs="Times New Roman"/>
          <w:noProof/>
          <w:sz w:val="24"/>
          <w:szCs w:val="24"/>
        </w:rPr>
        <w:drawing>
          <wp:inline distT="0" distB="0" distL="0" distR="0" wp14:anchorId="23E128A5" wp14:editId="5A077643">
            <wp:extent cx="5612130" cy="3695700"/>
            <wp:effectExtent l="0" t="0" r="7620" b="0"/>
            <wp:docPr id="5" name="Imagen 5"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cajas y bigotes&#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695700"/>
                    </a:xfrm>
                    <a:prstGeom prst="rect">
                      <a:avLst/>
                    </a:prstGeom>
                    <a:noFill/>
                    <a:ln>
                      <a:noFill/>
                    </a:ln>
                  </pic:spPr>
                </pic:pic>
              </a:graphicData>
            </a:graphic>
          </wp:inline>
        </w:drawing>
      </w:r>
    </w:p>
    <w:p w14:paraId="47C8D24A" w14:textId="77777777" w:rsidR="009707B5" w:rsidRPr="00AB4F72" w:rsidRDefault="009707B5" w:rsidP="009707B5">
      <w:pPr>
        <w:autoSpaceDE w:val="0"/>
        <w:autoSpaceDN w:val="0"/>
        <w:adjustRightInd w:val="0"/>
        <w:spacing w:after="0" w:line="240" w:lineRule="auto"/>
        <w:rPr>
          <w:rFonts w:ascii="Times New Roman" w:hAnsi="Times New Roman" w:cs="Times New Roman"/>
          <w:sz w:val="24"/>
          <w:szCs w:val="24"/>
        </w:rPr>
      </w:pPr>
    </w:p>
    <w:p w14:paraId="5E858234" w14:textId="0416D7C6" w:rsidR="00281471" w:rsidRPr="00AB4F72" w:rsidRDefault="00281471" w:rsidP="00281471">
      <w:pPr>
        <w:autoSpaceDE w:val="0"/>
        <w:autoSpaceDN w:val="0"/>
        <w:adjustRightInd w:val="0"/>
        <w:spacing w:after="0" w:line="240" w:lineRule="auto"/>
        <w:jc w:val="center"/>
        <w:rPr>
          <w:rFonts w:ascii="Times New Roman" w:hAnsi="Times New Roman" w:cs="Times New Roman"/>
          <w:sz w:val="24"/>
          <w:szCs w:val="24"/>
        </w:rPr>
      </w:pPr>
      <w:r w:rsidRPr="00AB4F72">
        <w:rPr>
          <w:rFonts w:ascii="Times New Roman" w:hAnsi="Times New Roman" w:cs="Times New Roman"/>
          <w:b/>
          <w:bCs/>
          <w:sz w:val="24"/>
          <w:szCs w:val="24"/>
        </w:rPr>
        <w:t>Figura 1</w:t>
      </w:r>
      <w:r w:rsidRPr="00AB4F72">
        <w:rPr>
          <w:rFonts w:ascii="Times New Roman" w:hAnsi="Times New Roman" w:cs="Times New Roman"/>
          <w:sz w:val="24"/>
          <w:szCs w:val="24"/>
        </w:rPr>
        <w:t xml:space="preserve">. Diagrama de caja </w:t>
      </w:r>
      <w:r w:rsidR="0018150D" w:rsidRPr="00AB4F72">
        <w:rPr>
          <w:rFonts w:ascii="Times New Roman" w:hAnsi="Times New Roman" w:cs="Times New Roman"/>
          <w:sz w:val="24"/>
          <w:szCs w:val="24"/>
        </w:rPr>
        <w:t>antes del</w:t>
      </w:r>
      <w:r w:rsidRPr="00AB4F72">
        <w:rPr>
          <w:rFonts w:ascii="Times New Roman" w:hAnsi="Times New Roman" w:cs="Times New Roman"/>
          <w:sz w:val="24"/>
          <w:szCs w:val="24"/>
        </w:rPr>
        <w:t xml:space="preserve"> conflicto vs conflicto.</w:t>
      </w:r>
      <w:r w:rsidR="00014356" w:rsidRPr="00AB4F72">
        <w:rPr>
          <w:rFonts w:ascii="Times New Roman" w:hAnsi="Times New Roman" w:cs="Times New Roman"/>
          <w:sz w:val="24"/>
          <w:szCs w:val="24"/>
        </w:rPr>
        <w:t xml:space="preserve"> </w:t>
      </w:r>
      <w:r w:rsidR="00014356" w:rsidRPr="00AB4F72">
        <w:rPr>
          <w:rFonts w:ascii="Times New Roman" w:hAnsi="Times New Roman" w:cs="Times New Roman"/>
          <w:b/>
          <w:bCs/>
          <w:sz w:val="24"/>
          <w:szCs w:val="24"/>
        </w:rPr>
        <w:t>Fuente</w:t>
      </w:r>
      <w:r w:rsidR="00014356" w:rsidRPr="00AB4F72">
        <w:rPr>
          <w:rFonts w:ascii="Times New Roman" w:hAnsi="Times New Roman" w:cs="Times New Roman"/>
          <w:sz w:val="24"/>
          <w:szCs w:val="24"/>
        </w:rPr>
        <w:t>: Elaboración propia del autor.</w:t>
      </w:r>
    </w:p>
    <w:p w14:paraId="7E383001" w14:textId="77777777" w:rsidR="009707B5" w:rsidRPr="00AB4F72" w:rsidRDefault="009707B5" w:rsidP="00281471">
      <w:pPr>
        <w:autoSpaceDE w:val="0"/>
        <w:autoSpaceDN w:val="0"/>
        <w:adjustRightInd w:val="0"/>
        <w:spacing w:after="0" w:line="400" w:lineRule="atLeast"/>
        <w:jc w:val="center"/>
        <w:rPr>
          <w:rFonts w:ascii="Times New Roman" w:hAnsi="Times New Roman" w:cs="Times New Roman"/>
          <w:sz w:val="24"/>
          <w:szCs w:val="24"/>
        </w:rPr>
      </w:pPr>
    </w:p>
    <w:p w14:paraId="07903460" w14:textId="77777777" w:rsidR="00163C63" w:rsidRPr="00AB4F72" w:rsidRDefault="00163C63" w:rsidP="00D735BF">
      <w:pPr>
        <w:spacing w:line="360" w:lineRule="auto"/>
        <w:jc w:val="both"/>
        <w:rPr>
          <w:rFonts w:ascii="Times New Roman" w:hAnsi="Times New Roman" w:cs="Times New Roman"/>
          <w:b/>
          <w:bCs/>
          <w:sz w:val="24"/>
          <w:szCs w:val="24"/>
        </w:rPr>
      </w:pPr>
    </w:p>
    <w:p w14:paraId="65AF7C61" w14:textId="42360B10" w:rsidR="00D735BF" w:rsidRPr="00AB4F72" w:rsidRDefault="00D735BF"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b/>
          <w:bCs/>
          <w:sz w:val="24"/>
          <w:szCs w:val="24"/>
        </w:rPr>
        <w:t xml:space="preserve">Homogeneidad de varianzas ("homocedasticidad") </w:t>
      </w:r>
    </w:p>
    <w:p w14:paraId="18438A47" w14:textId="77777777"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Comprobar que las varianzas de ambos grupos son iguales. La prueba F para la homogeneidad mostrará la existencia o no diferencias significativas entre las varianzas.  Se calcula el cociente entre las varianzas de ambos grupos.  </w:t>
      </w:r>
    </w:p>
    <w:p w14:paraId="721C94FD" w14:textId="77777777"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b/>
          <w:bCs/>
          <w:i/>
          <w:sz w:val="24"/>
          <w:szCs w:val="24"/>
        </w:rPr>
        <w:t>Igualdad de varianza</w:t>
      </w:r>
      <w:r w:rsidRPr="00AB4F72">
        <w:rPr>
          <w:rFonts w:ascii="Times New Roman" w:hAnsi="Times New Roman" w:cs="Times New Roman"/>
          <w:sz w:val="24"/>
          <w:szCs w:val="24"/>
        </w:rPr>
        <w:t xml:space="preserve"> (prueba de Levene): se debe corroborar esta igualdad entre los grupos. </w:t>
      </w:r>
      <w:r w:rsidRPr="00AB4F72">
        <w:rPr>
          <w:rFonts w:ascii="Times New Roman" w:hAnsi="Times New Roman" w:cs="Times New Roman"/>
          <w:b/>
          <w:bCs/>
          <w:i/>
          <w:sz w:val="24"/>
          <w:szCs w:val="24"/>
        </w:rPr>
        <w:t>P- valor</w:t>
      </w:r>
      <w:r w:rsidRPr="00AB4F72">
        <w:rPr>
          <w:rFonts w:ascii="Times New Roman" w:hAnsi="Times New Roman" w:cs="Times New Roman"/>
          <w:sz w:val="24"/>
          <w:szCs w:val="24"/>
        </w:rPr>
        <w:t xml:space="preserve"> =˃ α aceptar Ho = las varianzas son iguales, p</w:t>
      </w:r>
      <w:r w:rsidRPr="00AB4F72">
        <w:rPr>
          <w:rFonts w:ascii="Times New Roman" w:hAnsi="Times New Roman" w:cs="Times New Roman"/>
          <w:b/>
          <w:bCs/>
          <w:i/>
          <w:sz w:val="24"/>
          <w:szCs w:val="24"/>
        </w:rPr>
        <w:t>- valor</w:t>
      </w:r>
      <w:r w:rsidRPr="00AB4F72">
        <w:rPr>
          <w:rFonts w:ascii="Times New Roman" w:hAnsi="Times New Roman" w:cs="Times New Roman"/>
          <w:sz w:val="24"/>
          <w:szCs w:val="24"/>
        </w:rPr>
        <w:t xml:space="preserve"> ˂ α aceptar Ha = existe diferencia significativa entre las varianzas. </w:t>
      </w:r>
    </w:p>
    <w:p w14:paraId="28F7C099" w14:textId="7014F7EC"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noProof/>
          <w:sz w:val="24"/>
          <w:szCs w:val="24"/>
        </w:rPr>
        <w:t xml:space="preserve">Al realizar esta transformación, se procedió a realizar de nuevo la prueba de Levene. En la </w:t>
      </w:r>
      <w:r w:rsidRPr="00AB4F72">
        <w:rPr>
          <w:rFonts w:ascii="Times New Roman" w:hAnsi="Times New Roman" w:cs="Times New Roman"/>
          <w:b/>
          <w:noProof/>
          <w:sz w:val="24"/>
          <w:szCs w:val="24"/>
        </w:rPr>
        <w:t>tabla 3</w:t>
      </w:r>
      <w:r w:rsidRPr="00AB4F72">
        <w:rPr>
          <w:rFonts w:ascii="Times New Roman" w:hAnsi="Times New Roman" w:cs="Times New Roman"/>
          <w:noProof/>
          <w:sz w:val="24"/>
          <w:szCs w:val="24"/>
        </w:rPr>
        <w:t xml:space="preserve"> se aprecia que el p-valor es igual a 0,</w:t>
      </w:r>
      <w:r w:rsidR="00807661" w:rsidRPr="00AB4F72">
        <w:rPr>
          <w:rFonts w:ascii="Times New Roman" w:hAnsi="Times New Roman" w:cs="Times New Roman"/>
          <w:noProof/>
          <w:sz w:val="24"/>
          <w:szCs w:val="24"/>
        </w:rPr>
        <w:t>195</w:t>
      </w:r>
      <w:r w:rsidRPr="00AB4F72">
        <w:rPr>
          <w:rFonts w:ascii="Times New Roman" w:hAnsi="Times New Roman" w:cs="Times New Roman"/>
          <w:noProof/>
          <w:sz w:val="24"/>
          <w:szCs w:val="24"/>
        </w:rPr>
        <w:t xml:space="preserve">, por tanto el p-valor es mayor de </w:t>
      </w:r>
      <w:r w:rsidRPr="00AB4F72">
        <w:rPr>
          <w:rFonts w:ascii="Times New Roman" w:hAnsi="Times New Roman" w:cs="Times New Roman"/>
          <w:sz w:val="24"/>
          <w:szCs w:val="24"/>
        </w:rPr>
        <w:t>α= 0,05, concluyendo que aceptamos Ho, es decir asumimos que las varianzas son iguales.</w:t>
      </w:r>
    </w:p>
    <w:p w14:paraId="15F55990" w14:textId="6B50D476" w:rsidR="00D735BF" w:rsidRPr="00AB4F72" w:rsidRDefault="00D735BF" w:rsidP="00163C63">
      <w:pPr>
        <w:autoSpaceDE w:val="0"/>
        <w:autoSpaceDN w:val="0"/>
        <w:adjustRightInd w:val="0"/>
        <w:spacing w:line="240" w:lineRule="auto"/>
        <w:jc w:val="center"/>
        <w:rPr>
          <w:rFonts w:ascii="Times New Roman" w:hAnsi="Times New Roman" w:cs="Times New Roman"/>
          <w:sz w:val="24"/>
          <w:szCs w:val="24"/>
        </w:rPr>
      </w:pPr>
      <w:r w:rsidRPr="00AB4F72">
        <w:rPr>
          <w:rFonts w:ascii="Times New Roman" w:hAnsi="Times New Roman" w:cs="Times New Roman"/>
          <w:b/>
          <w:bCs/>
          <w:sz w:val="24"/>
          <w:szCs w:val="24"/>
        </w:rPr>
        <w:t>Tabla 3</w:t>
      </w:r>
      <w:r w:rsidRPr="00AB4F72">
        <w:rPr>
          <w:rFonts w:ascii="Times New Roman" w:hAnsi="Times New Roman" w:cs="Times New Roman"/>
          <w:sz w:val="24"/>
          <w:szCs w:val="24"/>
        </w:rPr>
        <w:t xml:space="preserve">.  Prueba </w:t>
      </w:r>
      <w:r w:rsidR="00F33179" w:rsidRPr="00AB4F72">
        <w:rPr>
          <w:rFonts w:ascii="Times New Roman" w:hAnsi="Times New Roman" w:cs="Times New Roman"/>
          <w:sz w:val="24"/>
          <w:szCs w:val="24"/>
        </w:rPr>
        <w:t>T-Student</w:t>
      </w:r>
      <w:r w:rsidRPr="00AB4F72">
        <w:rPr>
          <w:rFonts w:ascii="Times New Roman" w:hAnsi="Times New Roman" w:cs="Times New Roman"/>
          <w:sz w:val="24"/>
          <w:szCs w:val="24"/>
        </w:rPr>
        <w:t xml:space="preserve"> para muestras independientes</w:t>
      </w:r>
    </w:p>
    <w:tbl>
      <w:tblPr>
        <w:tblW w:w="8400" w:type="dxa"/>
        <w:tblCellMar>
          <w:left w:w="70" w:type="dxa"/>
          <w:right w:w="70" w:type="dxa"/>
        </w:tblCellMar>
        <w:tblLook w:val="04A0" w:firstRow="1" w:lastRow="0" w:firstColumn="1" w:lastColumn="0" w:noHBand="0" w:noVBand="1"/>
      </w:tblPr>
      <w:tblGrid>
        <w:gridCol w:w="1122"/>
        <w:gridCol w:w="1161"/>
        <w:gridCol w:w="1193"/>
        <w:gridCol w:w="1193"/>
        <w:gridCol w:w="1195"/>
        <w:gridCol w:w="1194"/>
        <w:gridCol w:w="1196"/>
        <w:gridCol w:w="146"/>
      </w:tblGrid>
      <w:tr w:rsidR="00D735BF" w:rsidRPr="00AB4F72" w14:paraId="53F9A922" w14:textId="77777777" w:rsidTr="00E34C6B">
        <w:trPr>
          <w:gridAfter w:val="1"/>
          <w:wAfter w:w="146" w:type="dxa"/>
          <w:trHeight w:val="300"/>
        </w:trPr>
        <w:tc>
          <w:tcPr>
            <w:tcW w:w="825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0799945" w14:textId="77777777" w:rsidR="00D735BF" w:rsidRPr="00AB4F72" w:rsidRDefault="00D735BF" w:rsidP="00E34C6B">
            <w:pPr>
              <w:spacing w:after="0" w:line="240" w:lineRule="auto"/>
              <w:jc w:val="center"/>
              <w:rPr>
                <w:rFonts w:ascii="Times New Roman" w:eastAsia="Times New Roman" w:hAnsi="Times New Roman" w:cs="Times New Roman"/>
                <w:b/>
                <w:bCs/>
                <w:color w:val="993300"/>
                <w:sz w:val="24"/>
                <w:szCs w:val="24"/>
                <w:lang w:eastAsia="es-CO"/>
              </w:rPr>
            </w:pPr>
          </w:p>
        </w:tc>
      </w:tr>
      <w:tr w:rsidR="00D735BF" w:rsidRPr="00AB4F72" w14:paraId="15B174C2" w14:textId="77777777" w:rsidTr="00E34C6B">
        <w:trPr>
          <w:gridAfter w:val="1"/>
          <w:wAfter w:w="146" w:type="dxa"/>
          <w:trHeight w:val="300"/>
        </w:trPr>
        <w:tc>
          <w:tcPr>
            <w:tcW w:w="2283" w:type="dxa"/>
            <w:gridSpan w:val="2"/>
            <w:vMerge w:val="restart"/>
            <w:tcBorders>
              <w:top w:val="nil"/>
              <w:left w:val="single" w:sz="4" w:space="0" w:color="auto"/>
              <w:bottom w:val="single" w:sz="4" w:space="0" w:color="993366"/>
              <w:right w:val="nil"/>
            </w:tcBorders>
            <w:shd w:val="clear" w:color="auto" w:fill="auto"/>
            <w:vAlign w:val="bottom"/>
            <w:hideMark/>
          </w:tcPr>
          <w:p w14:paraId="2BDA589E"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 </w:t>
            </w:r>
          </w:p>
        </w:tc>
        <w:tc>
          <w:tcPr>
            <w:tcW w:w="2386" w:type="dxa"/>
            <w:gridSpan w:val="2"/>
            <w:tcBorders>
              <w:top w:val="single" w:sz="4" w:space="0" w:color="auto"/>
              <w:left w:val="single" w:sz="4" w:space="0" w:color="auto"/>
              <w:bottom w:val="nil"/>
              <w:right w:val="single" w:sz="4" w:space="0" w:color="333333"/>
            </w:tcBorders>
            <w:shd w:val="clear" w:color="auto" w:fill="auto"/>
            <w:vAlign w:val="bottom"/>
            <w:hideMark/>
          </w:tcPr>
          <w:p w14:paraId="72866D7A" w14:textId="77777777" w:rsidR="00D735BF" w:rsidRPr="00AB4F72" w:rsidRDefault="00D735BF" w:rsidP="00E34C6B">
            <w:pPr>
              <w:spacing w:after="0" w:line="240" w:lineRule="auto"/>
              <w:jc w:val="center"/>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Prueba de Levene de igualdad de varianzas</w:t>
            </w:r>
          </w:p>
        </w:tc>
        <w:tc>
          <w:tcPr>
            <w:tcW w:w="3585" w:type="dxa"/>
            <w:gridSpan w:val="3"/>
            <w:tcBorders>
              <w:top w:val="nil"/>
              <w:left w:val="nil"/>
              <w:bottom w:val="nil"/>
              <w:right w:val="single" w:sz="4" w:space="0" w:color="333333"/>
            </w:tcBorders>
            <w:shd w:val="clear" w:color="auto" w:fill="auto"/>
            <w:vAlign w:val="center"/>
            <w:hideMark/>
          </w:tcPr>
          <w:p w14:paraId="2A22D77C" w14:textId="77777777" w:rsidR="00D735BF" w:rsidRPr="00AB4F72" w:rsidRDefault="00D735BF" w:rsidP="00E34C6B">
            <w:pPr>
              <w:spacing w:after="0" w:line="240" w:lineRule="auto"/>
              <w:jc w:val="center"/>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Prueba t para la igualdad de medias</w:t>
            </w:r>
          </w:p>
        </w:tc>
      </w:tr>
      <w:tr w:rsidR="00D735BF" w:rsidRPr="00AB4F72" w14:paraId="08490DCA" w14:textId="77777777" w:rsidTr="00E34C6B">
        <w:trPr>
          <w:gridAfter w:val="1"/>
          <w:wAfter w:w="146" w:type="dxa"/>
          <w:trHeight w:val="458"/>
        </w:trPr>
        <w:tc>
          <w:tcPr>
            <w:tcW w:w="2283" w:type="dxa"/>
            <w:gridSpan w:val="2"/>
            <w:vMerge/>
            <w:tcBorders>
              <w:top w:val="nil"/>
              <w:left w:val="single" w:sz="4" w:space="0" w:color="auto"/>
              <w:bottom w:val="single" w:sz="4" w:space="0" w:color="993366"/>
              <w:right w:val="nil"/>
            </w:tcBorders>
            <w:vAlign w:val="center"/>
            <w:hideMark/>
          </w:tcPr>
          <w:p w14:paraId="53D8FF9B"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p>
        </w:tc>
        <w:tc>
          <w:tcPr>
            <w:tcW w:w="1193" w:type="dxa"/>
            <w:vMerge w:val="restart"/>
            <w:tcBorders>
              <w:top w:val="single" w:sz="4" w:space="0" w:color="auto"/>
              <w:left w:val="single" w:sz="4" w:space="0" w:color="auto"/>
              <w:bottom w:val="single" w:sz="4" w:space="0" w:color="993366"/>
              <w:right w:val="single" w:sz="4" w:space="0" w:color="333333"/>
            </w:tcBorders>
            <w:shd w:val="clear" w:color="auto" w:fill="auto"/>
            <w:vAlign w:val="center"/>
            <w:hideMark/>
          </w:tcPr>
          <w:p w14:paraId="46D2C1F0" w14:textId="77777777" w:rsidR="00D735BF" w:rsidRPr="00AB4F72" w:rsidRDefault="00D735BF" w:rsidP="00E34C6B">
            <w:pPr>
              <w:spacing w:after="0" w:line="240" w:lineRule="auto"/>
              <w:jc w:val="center"/>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F</w:t>
            </w:r>
          </w:p>
        </w:tc>
        <w:tc>
          <w:tcPr>
            <w:tcW w:w="1193" w:type="dxa"/>
            <w:vMerge w:val="restart"/>
            <w:tcBorders>
              <w:top w:val="single" w:sz="4" w:space="0" w:color="auto"/>
              <w:left w:val="single" w:sz="4" w:space="0" w:color="333333"/>
              <w:bottom w:val="single" w:sz="4" w:space="0" w:color="993366"/>
              <w:right w:val="single" w:sz="4" w:space="0" w:color="333333"/>
            </w:tcBorders>
            <w:shd w:val="clear" w:color="auto" w:fill="auto"/>
            <w:vAlign w:val="center"/>
            <w:hideMark/>
          </w:tcPr>
          <w:p w14:paraId="1E66EBDB" w14:textId="77777777" w:rsidR="00D735BF" w:rsidRPr="00AB4F72" w:rsidRDefault="00D735BF" w:rsidP="00E34C6B">
            <w:pPr>
              <w:spacing w:after="0" w:line="240" w:lineRule="auto"/>
              <w:jc w:val="center"/>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Sig.</w:t>
            </w:r>
          </w:p>
        </w:tc>
        <w:tc>
          <w:tcPr>
            <w:tcW w:w="1195" w:type="dxa"/>
            <w:vMerge w:val="restart"/>
            <w:tcBorders>
              <w:top w:val="single" w:sz="4" w:space="0" w:color="auto"/>
              <w:left w:val="single" w:sz="4" w:space="0" w:color="333333"/>
              <w:bottom w:val="single" w:sz="4" w:space="0" w:color="993366"/>
              <w:right w:val="single" w:sz="4" w:space="0" w:color="333333"/>
            </w:tcBorders>
            <w:shd w:val="clear" w:color="auto" w:fill="auto"/>
            <w:vAlign w:val="center"/>
            <w:hideMark/>
          </w:tcPr>
          <w:p w14:paraId="6D72F7F6" w14:textId="77777777" w:rsidR="00D735BF" w:rsidRPr="00AB4F72" w:rsidRDefault="00D735BF" w:rsidP="00E34C6B">
            <w:pPr>
              <w:spacing w:after="0" w:line="240" w:lineRule="auto"/>
              <w:jc w:val="center"/>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t</w:t>
            </w:r>
          </w:p>
        </w:tc>
        <w:tc>
          <w:tcPr>
            <w:tcW w:w="1194" w:type="dxa"/>
            <w:vMerge w:val="restart"/>
            <w:tcBorders>
              <w:top w:val="single" w:sz="4" w:space="0" w:color="auto"/>
              <w:left w:val="single" w:sz="4" w:space="0" w:color="333333"/>
              <w:bottom w:val="single" w:sz="4" w:space="0" w:color="993366"/>
              <w:right w:val="single" w:sz="4" w:space="0" w:color="333333"/>
            </w:tcBorders>
            <w:shd w:val="clear" w:color="auto" w:fill="auto"/>
            <w:vAlign w:val="center"/>
            <w:hideMark/>
          </w:tcPr>
          <w:p w14:paraId="6E9F9C8A" w14:textId="77777777" w:rsidR="00D735BF" w:rsidRPr="00AB4F72" w:rsidRDefault="00D735BF" w:rsidP="00E34C6B">
            <w:pPr>
              <w:spacing w:after="0" w:line="240" w:lineRule="auto"/>
              <w:jc w:val="center"/>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gl</w:t>
            </w:r>
          </w:p>
        </w:tc>
        <w:tc>
          <w:tcPr>
            <w:tcW w:w="1196" w:type="dxa"/>
            <w:vMerge w:val="restart"/>
            <w:tcBorders>
              <w:top w:val="single" w:sz="4" w:space="0" w:color="auto"/>
              <w:left w:val="single" w:sz="4" w:space="0" w:color="333333"/>
              <w:bottom w:val="single" w:sz="4" w:space="0" w:color="993366"/>
              <w:right w:val="single" w:sz="4" w:space="0" w:color="333333"/>
            </w:tcBorders>
            <w:shd w:val="clear" w:color="auto" w:fill="auto"/>
            <w:vAlign w:val="center"/>
            <w:hideMark/>
          </w:tcPr>
          <w:p w14:paraId="7C4543DA" w14:textId="77777777" w:rsidR="00D735BF" w:rsidRPr="00AB4F72" w:rsidRDefault="00D735BF" w:rsidP="00E34C6B">
            <w:pPr>
              <w:spacing w:after="0" w:line="240" w:lineRule="auto"/>
              <w:jc w:val="center"/>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Sig. (bilateral)</w:t>
            </w:r>
          </w:p>
        </w:tc>
      </w:tr>
      <w:tr w:rsidR="00D735BF" w:rsidRPr="00AB4F72" w14:paraId="4716D1F3" w14:textId="77777777" w:rsidTr="00E34C6B">
        <w:trPr>
          <w:trHeight w:val="300"/>
        </w:trPr>
        <w:tc>
          <w:tcPr>
            <w:tcW w:w="2283" w:type="dxa"/>
            <w:gridSpan w:val="2"/>
            <w:vMerge/>
            <w:tcBorders>
              <w:top w:val="nil"/>
              <w:left w:val="single" w:sz="4" w:space="0" w:color="auto"/>
              <w:bottom w:val="single" w:sz="4" w:space="0" w:color="993366"/>
              <w:right w:val="nil"/>
            </w:tcBorders>
            <w:vAlign w:val="center"/>
            <w:hideMark/>
          </w:tcPr>
          <w:p w14:paraId="75A2C124"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p>
        </w:tc>
        <w:tc>
          <w:tcPr>
            <w:tcW w:w="1193" w:type="dxa"/>
            <w:vMerge/>
            <w:tcBorders>
              <w:top w:val="single" w:sz="4" w:space="0" w:color="auto"/>
              <w:left w:val="single" w:sz="4" w:space="0" w:color="auto"/>
              <w:bottom w:val="single" w:sz="4" w:space="0" w:color="993366"/>
              <w:right w:val="single" w:sz="4" w:space="0" w:color="333333"/>
            </w:tcBorders>
            <w:vAlign w:val="center"/>
            <w:hideMark/>
          </w:tcPr>
          <w:p w14:paraId="7FD87C35"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p>
        </w:tc>
        <w:tc>
          <w:tcPr>
            <w:tcW w:w="1193" w:type="dxa"/>
            <w:vMerge/>
            <w:tcBorders>
              <w:top w:val="single" w:sz="4" w:space="0" w:color="auto"/>
              <w:left w:val="single" w:sz="4" w:space="0" w:color="333333"/>
              <w:bottom w:val="single" w:sz="4" w:space="0" w:color="993366"/>
              <w:right w:val="single" w:sz="4" w:space="0" w:color="333333"/>
            </w:tcBorders>
            <w:vAlign w:val="center"/>
            <w:hideMark/>
          </w:tcPr>
          <w:p w14:paraId="2F220074"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p>
        </w:tc>
        <w:tc>
          <w:tcPr>
            <w:tcW w:w="1195" w:type="dxa"/>
            <w:vMerge/>
            <w:tcBorders>
              <w:top w:val="single" w:sz="4" w:space="0" w:color="auto"/>
              <w:left w:val="single" w:sz="4" w:space="0" w:color="333333"/>
              <w:bottom w:val="single" w:sz="4" w:space="0" w:color="993366"/>
              <w:right w:val="single" w:sz="4" w:space="0" w:color="333333"/>
            </w:tcBorders>
            <w:vAlign w:val="center"/>
            <w:hideMark/>
          </w:tcPr>
          <w:p w14:paraId="46783E14"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p>
        </w:tc>
        <w:tc>
          <w:tcPr>
            <w:tcW w:w="1194" w:type="dxa"/>
            <w:vMerge/>
            <w:tcBorders>
              <w:top w:val="single" w:sz="4" w:space="0" w:color="auto"/>
              <w:left w:val="single" w:sz="4" w:space="0" w:color="333333"/>
              <w:bottom w:val="single" w:sz="4" w:space="0" w:color="993366"/>
              <w:right w:val="single" w:sz="4" w:space="0" w:color="333333"/>
            </w:tcBorders>
            <w:vAlign w:val="center"/>
            <w:hideMark/>
          </w:tcPr>
          <w:p w14:paraId="0DF25A3D"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p>
        </w:tc>
        <w:tc>
          <w:tcPr>
            <w:tcW w:w="1196" w:type="dxa"/>
            <w:vMerge/>
            <w:tcBorders>
              <w:top w:val="single" w:sz="4" w:space="0" w:color="auto"/>
              <w:left w:val="single" w:sz="4" w:space="0" w:color="333333"/>
              <w:bottom w:val="single" w:sz="4" w:space="0" w:color="993366"/>
              <w:right w:val="single" w:sz="4" w:space="0" w:color="333333"/>
            </w:tcBorders>
            <w:vAlign w:val="center"/>
            <w:hideMark/>
          </w:tcPr>
          <w:p w14:paraId="257C88E3"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p>
        </w:tc>
        <w:tc>
          <w:tcPr>
            <w:tcW w:w="146" w:type="dxa"/>
            <w:tcBorders>
              <w:top w:val="nil"/>
              <w:left w:val="nil"/>
              <w:bottom w:val="nil"/>
              <w:right w:val="nil"/>
            </w:tcBorders>
            <w:shd w:val="clear" w:color="auto" w:fill="auto"/>
            <w:noWrap/>
            <w:vAlign w:val="bottom"/>
            <w:hideMark/>
          </w:tcPr>
          <w:p w14:paraId="359C452E" w14:textId="77777777" w:rsidR="00D735BF" w:rsidRPr="00AB4F72" w:rsidRDefault="00D735BF" w:rsidP="00E34C6B">
            <w:pPr>
              <w:spacing w:after="0" w:line="240" w:lineRule="auto"/>
              <w:jc w:val="center"/>
              <w:rPr>
                <w:rFonts w:ascii="Times New Roman" w:eastAsia="Times New Roman" w:hAnsi="Times New Roman" w:cs="Times New Roman"/>
                <w:color w:val="333399"/>
                <w:sz w:val="24"/>
                <w:szCs w:val="24"/>
                <w:lang w:eastAsia="es-CO"/>
              </w:rPr>
            </w:pPr>
          </w:p>
        </w:tc>
      </w:tr>
      <w:tr w:rsidR="00D735BF" w:rsidRPr="00AB4F72" w14:paraId="64C5F3CF" w14:textId="77777777" w:rsidTr="00E34C6B">
        <w:trPr>
          <w:trHeight w:val="720"/>
        </w:trPr>
        <w:tc>
          <w:tcPr>
            <w:tcW w:w="1122" w:type="dxa"/>
            <w:vMerge w:val="restart"/>
            <w:tcBorders>
              <w:top w:val="nil"/>
              <w:left w:val="single" w:sz="4" w:space="0" w:color="auto"/>
              <w:bottom w:val="single" w:sz="4" w:space="0" w:color="993366"/>
              <w:right w:val="single" w:sz="4" w:space="0" w:color="auto"/>
            </w:tcBorders>
            <w:shd w:val="clear" w:color="000000" w:fill="CCCCFF"/>
            <w:vAlign w:val="center"/>
            <w:hideMark/>
          </w:tcPr>
          <w:p w14:paraId="518121C1" w14:textId="2A8A46F6" w:rsidR="00D735BF" w:rsidRPr="00AB4F72" w:rsidRDefault="00E742A9" w:rsidP="00E34C6B">
            <w:pPr>
              <w:spacing w:after="0" w:line="240" w:lineRule="auto"/>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Precio petróleo Brent</w:t>
            </w:r>
          </w:p>
        </w:tc>
        <w:tc>
          <w:tcPr>
            <w:tcW w:w="1161" w:type="dxa"/>
            <w:tcBorders>
              <w:top w:val="nil"/>
              <w:left w:val="nil"/>
              <w:bottom w:val="single" w:sz="4" w:space="0" w:color="C0C0C0"/>
              <w:right w:val="single" w:sz="4" w:space="0" w:color="auto"/>
            </w:tcBorders>
            <w:shd w:val="clear" w:color="000000" w:fill="CCCCFF"/>
            <w:hideMark/>
          </w:tcPr>
          <w:p w14:paraId="61F8D815"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Se asumen varianzas iguales</w:t>
            </w:r>
          </w:p>
        </w:tc>
        <w:tc>
          <w:tcPr>
            <w:tcW w:w="1193" w:type="dxa"/>
            <w:tcBorders>
              <w:top w:val="nil"/>
              <w:left w:val="nil"/>
              <w:bottom w:val="single" w:sz="4" w:space="0" w:color="C0C0C0"/>
              <w:right w:val="single" w:sz="4" w:space="0" w:color="333333"/>
            </w:tcBorders>
            <w:shd w:val="clear" w:color="auto" w:fill="auto"/>
            <w:noWrap/>
            <w:vAlign w:val="center"/>
            <w:hideMark/>
          </w:tcPr>
          <w:p w14:paraId="228677D8" w14:textId="66054EEA" w:rsidR="00D735BF" w:rsidRPr="00AB4F72" w:rsidRDefault="00ED7602"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1</w:t>
            </w:r>
            <w:r w:rsidR="00D735BF" w:rsidRPr="00AB4F72">
              <w:rPr>
                <w:rFonts w:ascii="Times New Roman" w:eastAsia="Times New Roman" w:hAnsi="Times New Roman" w:cs="Times New Roman"/>
                <w:sz w:val="24"/>
                <w:szCs w:val="24"/>
                <w:lang w:eastAsia="es-CO"/>
              </w:rPr>
              <w:t>,</w:t>
            </w:r>
            <w:r w:rsidRPr="00AB4F72">
              <w:rPr>
                <w:rFonts w:ascii="Times New Roman" w:eastAsia="Times New Roman" w:hAnsi="Times New Roman" w:cs="Times New Roman"/>
                <w:sz w:val="24"/>
                <w:szCs w:val="24"/>
                <w:lang w:eastAsia="es-CO"/>
              </w:rPr>
              <w:t>698</w:t>
            </w:r>
          </w:p>
        </w:tc>
        <w:tc>
          <w:tcPr>
            <w:tcW w:w="1193" w:type="dxa"/>
            <w:tcBorders>
              <w:top w:val="nil"/>
              <w:left w:val="nil"/>
              <w:bottom w:val="single" w:sz="4" w:space="0" w:color="C0C0C0"/>
              <w:right w:val="single" w:sz="4" w:space="0" w:color="333333"/>
            </w:tcBorders>
            <w:shd w:val="clear" w:color="auto" w:fill="auto"/>
            <w:noWrap/>
            <w:vAlign w:val="center"/>
            <w:hideMark/>
          </w:tcPr>
          <w:p w14:paraId="1BB0679F" w14:textId="36198CEF" w:rsidR="00D735BF" w:rsidRPr="00AB4F72" w:rsidRDefault="00D735BF"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0,</w:t>
            </w:r>
            <w:r w:rsidR="00ED7602" w:rsidRPr="00AB4F72">
              <w:rPr>
                <w:rFonts w:ascii="Times New Roman" w:eastAsia="Times New Roman" w:hAnsi="Times New Roman" w:cs="Times New Roman"/>
                <w:sz w:val="24"/>
                <w:szCs w:val="24"/>
                <w:lang w:eastAsia="es-CO"/>
              </w:rPr>
              <w:t>195</w:t>
            </w:r>
          </w:p>
        </w:tc>
        <w:tc>
          <w:tcPr>
            <w:tcW w:w="1195" w:type="dxa"/>
            <w:tcBorders>
              <w:top w:val="nil"/>
              <w:left w:val="nil"/>
              <w:bottom w:val="single" w:sz="4" w:space="0" w:color="C0C0C0"/>
              <w:right w:val="single" w:sz="4" w:space="0" w:color="333333"/>
            </w:tcBorders>
            <w:shd w:val="clear" w:color="auto" w:fill="auto"/>
            <w:noWrap/>
            <w:vAlign w:val="center"/>
            <w:hideMark/>
          </w:tcPr>
          <w:p w14:paraId="5984038B" w14:textId="7A9693A0" w:rsidR="00D735BF" w:rsidRPr="00AB4F72" w:rsidRDefault="00D735BF"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-1</w:t>
            </w:r>
            <w:r w:rsidR="00ED7602" w:rsidRPr="00AB4F72">
              <w:rPr>
                <w:rFonts w:ascii="Times New Roman" w:eastAsia="Times New Roman" w:hAnsi="Times New Roman" w:cs="Times New Roman"/>
                <w:sz w:val="24"/>
                <w:szCs w:val="24"/>
                <w:lang w:eastAsia="es-CO"/>
              </w:rPr>
              <w:t>7,683</w:t>
            </w:r>
          </w:p>
        </w:tc>
        <w:tc>
          <w:tcPr>
            <w:tcW w:w="1194" w:type="dxa"/>
            <w:tcBorders>
              <w:top w:val="nil"/>
              <w:left w:val="nil"/>
              <w:bottom w:val="single" w:sz="4" w:space="0" w:color="C0C0C0"/>
              <w:right w:val="single" w:sz="4" w:space="0" w:color="333333"/>
            </w:tcBorders>
            <w:shd w:val="clear" w:color="auto" w:fill="auto"/>
            <w:noWrap/>
            <w:vAlign w:val="center"/>
            <w:hideMark/>
          </w:tcPr>
          <w:p w14:paraId="3888E1F5" w14:textId="787047DE" w:rsidR="00D735BF" w:rsidRPr="00AB4F72" w:rsidRDefault="00ED7602"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108</w:t>
            </w:r>
          </w:p>
        </w:tc>
        <w:tc>
          <w:tcPr>
            <w:tcW w:w="1196" w:type="dxa"/>
            <w:tcBorders>
              <w:top w:val="nil"/>
              <w:left w:val="nil"/>
              <w:bottom w:val="single" w:sz="4" w:space="0" w:color="C0C0C0"/>
              <w:right w:val="single" w:sz="4" w:space="0" w:color="333333"/>
            </w:tcBorders>
            <w:shd w:val="clear" w:color="auto" w:fill="auto"/>
            <w:noWrap/>
            <w:vAlign w:val="center"/>
            <w:hideMark/>
          </w:tcPr>
          <w:p w14:paraId="76515482" w14:textId="77777777" w:rsidR="00D735BF" w:rsidRPr="00AB4F72" w:rsidRDefault="00D735BF"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0,000</w:t>
            </w:r>
          </w:p>
        </w:tc>
        <w:tc>
          <w:tcPr>
            <w:tcW w:w="146" w:type="dxa"/>
            <w:vAlign w:val="center"/>
            <w:hideMark/>
          </w:tcPr>
          <w:p w14:paraId="2923FDA2" w14:textId="77777777" w:rsidR="00D735BF" w:rsidRPr="00AB4F72" w:rsidRDefault="00D735BF" w:rsidP="00E34C6B">
            <w:pPr>
              <w:spacing w:after="0" w:line="240" w:lineRule="auto"/>
              <w:rPr>
                <w:rFonts w:ascii="Times New Roman" w:eastAsia="Times New Roman" w:hAnsi="Times New Roman" w:cs="Times New Roman"/>
                <w:sz w:val="24"/>
                <w:szCs w:val="24"/>
                <w:lang w:eastAsia="es-CO"/>
              </w:rPr>
            </w:pPr>
          </w:p>
        </w:tc>
      </w:tr>
      <w:tr w:rsidR="00D735BF" w:rsidRPr="00AB4F72" w14:paraId="2A37ED49" w14:textId="77777777" w:rsidTr="00E34C6B">
        <w:trPr>
          <w:trHeight w:val="960"/>
        </w:trPr>
        <w:tc>
          <w:tcPr>
            <w:tcW w:w="1122" w:type="dxa"/>
            <w:vMerge/>
            <w:tcBorders>
              <w:top w:val="nil"/>
              <w:left w:val="single" w:sz="4" w:space="0" w:color="auto"/>
              <w:bottom w:val="single" w:sz="4" w:space="0" w:color="993366"/>
              <w:right w:val="single" w:sz="4" w:space="0" w:color="auto"/>
            </w:tcBorders>
            <w:vAlign w:val="center"/>
            <w:hideMark/>
          </w:tcPr>
          <w:p w14:paraId="192742BD"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p>
        </w:tc>
        <w:tc>
          <w:tcPr>
            <w:tcW w:w="1161" w:type="dxa"/>
            <w:tcBorders>
              <w:top w:val="nil"/>
              <w:left w:val="nil"/>
              <w:bottom w:val="single" w:sz="4" w:space="0" w:color="993366"/>
              <w:right w:val="single" w:sz="4" w:space="0" w:color="auto"/>
            </w:tcBorders>
            <w:shd w:val="clear" w:color="000000" w:fill="CCCCFF"/>
            <w:hideMark/>
          </w:tcPr>
          <w:p w14:paraId="12380DC7" w14:textId="77777777" w:rsidR="00D735BF" w:rsidRPr="00AB4F72" w:rsidRDefault="00D735BF" w:rsidP="00E34C6B">
            <w:pPr>
              <w:spacing w:after="0" w:line="240" w:lineRule="auto"/>
              <w:rPr>
                <w:rFonts w:ascii="Times New Roman" w:eastAsia="Times New Roman" w:hAnsi="Times New Roman" w:cs="Times New Roman"/>
                <w:color w:val="333399"/>
                <w:sz w:val="24"/>
                <w:szCs w:val="24"/>
                <w:lang w:eastAsia="es-CO"/>
              </w:rPr>
            </w:pPr>
            <w:r w:rsidRPr="00AB4F72">
              <w:rPr>
                <w:rFonts w:ascii="Times New Roman" w:eastAsia="Times New Roman" w:hAnsi="Times New Roman" w:cs="Times New Roman"/>
                <w:color w:val="333399"/>
                <w:sz w:val="24"/>
                <w:szCs w:val="24"/>
                <w:lang w:eastAsia="es-CO"/>
              </w:rPr>
              <w:t>No se asumen varianzas iguales</w:t>
            </w:r>
          </w:p>
        </w:tc>
        <w:tc>
          <w:tcPr>
            <w:tcW w:w="1193" w:type="dxa"/>
            <w:tcBorders>
              <w:top w:val="nil"/>
              <w:left w:val="nil"/>
              <w:bottom w:val="single" w:sz="4" w:space="0" w:color="993366"/>
              <w:right w:val="single" w:sz="4" w:space="0" w:color="333333"/>
            </w:tcBorders>
            <w:shd w:val="clear" w:color="auto" w:fill="auto"/>
            <w:vAlign w:val="center"/>
            <w:hideMark/>
          </w:tcPr>
          <w:p w14:paraId="0B7538DA" w14:textId="77777777" w:rsidR="00D735BF" w:rsidRPr="00AB4F72" w:rsidRDefault="00D735BF"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 </w:t>
            </w:r>
          </w:p>
        </w:tc>
        <w:tc>
          <w:tcPr>
            <w:tcW w:w="1193" w:type="dxa"/>
            <w:tcBorders>
              <w:top w:val="nil"/>
              <w:left w:val="nil"/>
              <w:bottom w:val="single" w:sz="4" w:space="0" w:color="993366"/>
              <w:right w:val="single" w:sz="4" w:space="0" w:color="333333"/>
            </w:tcBorders>
            <w:shd w:val="clear" w:color="auto" w:fill="auto"/>
            <w:vAlign w:val="center"/>
            <w:hideMark/>
          </w:tcPr>
          <w:p w14:paraId="2B12C775" w14:textId="77777777" w:rsidR="00D735BF" w:rsidRPr="00AB4F72" w:rsidRDefault="00D735BF"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 </w:t>
            </w:r>
          </w:p>
        </w:tc>
        <w:tc>
          <w:tcPr>
            <w:tcW w:w="1195" w:type="dxa"/>
            <w:tcBorders>
              <w:top w:val="nil"/>
              <w:left w:val="nil"/>
              <w:bottom w:val="single" w:sz="4" w:space="0" w:color="993366"/>
              <w:right w:val="single" w:sz="4" w:space="0" w:color="333333"/>
            </w:tcBorders>
            <w:shd w:val="clear" w:color="auto" w:fill="auto"/>
            <w:noWrap/>
            <w:vAlign w:val="center"/>
            <w:hideMark/>
          </w:tcPr>
          <w:p w14:paraId="0A7A9931" w14:textId="5D4C3FF6" w:rsidR="00D735BF" w:rsidRPr="00AB4F72" w:rsidRDefault="00D735BF"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-1</w:t>
            </w:r>
            <w:r w:rsidR="00ED7602" w:rsidRPr="00AB4F72">
              <w:rPr>
                <w:rFonts w:ascii="Times New Roman" w:eastAsia="Times New Roman" w:hAnsi="Times New Roman" w:cs="Times New Roman"/>
                <w:sz w:val="24"/>
                <w:szCs w:val="24"/>
                <w:lang w:eastAsia="es-CO"/>
              </w:rPr>
              <w:t>9,029</w:t>
            </w:r>
          </w:p>
        </w:tc>
        <w:tc>
          <w:tcPr>
            <w:tcW w:w="1194" w:type="dxa"/>
            <w:tcBorders>
              <w:top w:val="nil"/>
              <w:left w:val="nil"/>
              <w:bottom w:val="single" w:sz="4" w:space="0" w:color="993366"/>
              <w:right w:val="single" w:sz="4" w:space="0" w:color="333333"/>
            </w:tcBorders>
            <w:shd w:val="clear" w:color="auto" w:fill="auto"/>
            <w:noWrap/>
            <w:vAlign w:val="center"/>
            <w:hideMark/>
          </w:tcPr>
          <w:p w14:paraId="1C539D6F" w14:textId="4AE458CD" w:rsidR="00D735BF" w:rsidRPr="00AB4F72" w:rsidRDefault="00607DE9"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9</w:t>
            </w:r>
            <w:r w:rsidR="00ED7602" w:rsidRPr="00AB4F72">
              <w:rPr>
                <w:rFonts w:ascii="Times New Roman" w:eastAsia="Times New Roman" w:hAnsi="Times New Roman" w:cs="Times New Roman"/>
                <w:sz w:val="24"/>
                <w:szCs w:val="24"/>
                <w:lang w:eastAsia="es-CO"/>
              </w:rPr>
              <w:t>2,07</w:t>
            </w:r>
          </w:p>
        </w:tc>
        <w:tc>
          <w:tcPr>
            <w:tcW w:w="1196" w:type="dxa"/>
            <w:tcBorders>
              <w:top w:val="nil"/>
              <w:left w:val="nil"/>
              <w:bottom w:val="single" w:sz="4" w:space="0" w:color="993366"/>
              <w:right w:val="single" w:sz="4" w:space="0" w:color="333333"/>
            </w:tcBorders>
            <w:shd w:val="clear" w:color="auto" w:fill="auto"/>
            <w:noWrap/>
            <w:vAlign w:val="center"/>
            <w:hideMark/>
          </w:tcPr>
          <w:p w14:paraId="4ECB5A61" w14:textId="77777777" w:rsidR="00D735BF" w:rsidRPr="00AB4F72" w:rsidRDefault="00D735BF" w:rsidP="00E34C6B">
            <w:pPr>
              <w:spacing w:after="0" w:line="240" w:lineRule="auto"/>
              <w:jc w:val="center"/>
              <w:rPr>
                <w:rFonts w:ascii="Times New Roman" w:eastAsia="Times New Roman" w:hAnsi="Times New Roman" w:cs="Times New Roman"/>
                <w:sz w:val="24"/>
                <w:szCs w:val="24"/>
                <w:lang w:eastAsia="es-CO"/>
              </w:rPr>
            </w:pPr>
            <w:r w:rsidRPr="00AB4F72">
              <w:rPr>
                <w:rFonts w:ascii="Times New Roman" w:eastAsia="Times New Roman" w:hAnsi="Times New Roman" w:cs="Times New Roman"/>
                <w:sz w:val="24"/>
                <w:szCs w:val="24"/>
                <w:lang w:eastAsia="es-CO"/>
              </w:rPr>
              <w:t>0,000</w:t>
            </w:r>
          </w:p>
        </w:tc>
        <w:tc>
          <w:tcPr>
            <w:tcW w:w="146" w:type="dxa"/>
            <w:vAlign w:val="center"/>
            <w:hideMark/>
          </w:tcPr>
          <w:p w14:paraId="6A5717C6" w14:textId="77777777" w:rsidR="00D735BF" w:rsidRPr="00AB4F72" w:rsidRDefault="00D735BF" w:rsidP="00E34C6B">
            <w:pPr>
              <w:spacing w:after="0" w:line="240" w:lineRule="auto"/>
              <w:rPr>
                <w:rFonts w:ascii="Times New Roman" w:eastAsia="Times New Roman" w:hAnsi="Times New Roman" w:cs="Times New Roman"/>
                <w:sz w:val="24"/>
                <w:szCs w:val="24"/>
                <w:lang w:eastAsia="es-CO"/>
              </w:rPr>
            </w:pPr>
          </w:p>
        </w:tc>
      </w:tr>
    </w:tbl>
    <w:p w14:paraId="3E96C1A4" w14:textId="77777777" w:rsidR="00D735BF" w:rsidRPr="00AB4F72" w:rsidRDefault="00D735BF" w:rsidP="00D735BF">
      <w:pPr>
        <w:spacing w:line="360" w:lineRule="auto"/>
        <w:jc w:val="both"/>
        <w:rPr>
          <w:rFonts w:ascii="Times New Roman" w:hAnsi="Times New Roman" w:cs="Times New Roman"/>
          <w:sz w:val="24"/>
          <w:szCs w:val="24"/>
        </w:rPr>
      </w:pPr>
    </w:p>
    <w:p w14:paraId="388F8C4B" w14:textId="7B2682A8"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Al cumplirse los supuestos de normalidad y de igualdad de varianzas, de acuerdo con la </w:t>
      </w:r>
      <w:r w:rsidRPr="00AB4F72">
        <w:rPr>
          <w:rFonts w:ascii="Times New Roman" w:hAnsi="Times New Roman" w:cs="Times New Roman"/>
          <w:b/>
          <w:sz w:val="24"/>
          <w:szCs w:val="24"/>
        </w:rPr>
        <w:t xml:space="preserve">tabla </w:t>
      </w:r>
      <w:r w:rsidR="00F96E75" w:rsidRPr="00AB4F72">
        <w:rPr>
          <w:rFonts w:ascii="Times New Roman" w:hAnsi="Times New Roman" w:cs="Times New Roman"/>
          <w:b/>
          <w:sz w:val="24"/>
          <w:szCs w:val="24"/>
        </w:rPr>
        <w:t>3</w:t>
      </w:r>
      <w:r w:rsidRPr="00AB4F72">
        <w:rPr>
          <w:rFonts w:ascii="Times New Roman" w:hAnsi="Times New Roman" w:cs="Times New Roman"/>
          <w:sz w:val="24"/>
          <w:szCs w:val="24"/>
        </w:rPr>
        <w:t xml:space="preserve"> la prueba t-student para muestras independientes arrojaron una Sig. (bilateral) &lt; a 0,000, por lo tanto, rechazamos Ho y aceptamos Ha, es decir se evidencia que hay diferencias altamente significativas entre los promedios de</w:t>
      </w:r>
      <w:r w:rsidR="001F54DF" w:rsidRPr="00AB4F72">
        <w:rPr>
          <w:rFonts w:ascii="Times New Roman" w:hAnsi="Times New Roman" w:cs="Times New Roman"/>
          <w:sz w:val="24"/>
          <w:szCs w:val="24"/>
        </w:rPr>
        <w:t>l precio de cierre del petróleo Brent antes y durante el conflicto en Ucrania.</w:t>
      </w:r>
    </w:p>
    <w:p w14:paraId="1FC3D861" w14:textId="1C82E303" w:rsidR="00E80FFA" w:rsidRPr="00AB4F72" w:rsidRDefault="00C27EFE"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Ahora, podemos apreciar e</w:t>
      </w:r>
      <w:r w:rsidR="00E80FFA" w:rsidRPr="00AB4F72">
        <w:rPr>
          <w:rFonts w:ascii="Times New Roman" w:hAnsi="Times New Roman" w:cs="Times New Roman"/>
          <w:sz w:val="24"/>
          <w:szCs w:val="24"/>
        </w:rPr>
        <w:t xml:space="preserve">n la figura 2, </w:t>
      </w:r>
      <w:r w:rsidRPr="00AB4F72">
        <w:rPr>
          <w:rFonts w:ascii="Times New Roman" w:hAnsi="Times New Roman" w:cs="Times New Roman"/>
          <w:sz w:val="24"/>
          <w:szCs w:val="24"/>
        </w:rPr>
        <w:t xml:space="preserve">la tendencia del petróleo Brent entre </w:t>
      </w:r>
      <w:r w:rsidR="00C22F1F" w:rsidRPr="00AB4F72">
        <w:rPr>
          <w:rFonts w:ascii="Times New Roman" w:hAnsi="Times New Roman" w:cs="Times New Roman"/>
          <w:sz w:val="24"/>
          <w:szCs w:val="24"/>
        </w:rPr>
        <w:t>el 2 de enero y el 23 febrero de 2022</w:t>
      </w:r>
      <w:r w:rsidR="00E80FFA" w:rsidRPr="00AB4F72">
        <w:rPr>
          <w:rFonts w:ascii="Times New Roman" w:hAnsi="Times New Roman" w:cs="Times New Roman"/>
          <w:sz w:val="24"/>
          <w:szCs w:val="24"/>
        </w:rPr>
        <w:t xml:space="preserve"> </w:t>
      </w:r>
      <w:r w:rsidR="00C22F1F" w:rsidRPr="00AB4F72">
        <w:rPr>
          <w:rFonts w:ascii="Times New Roman" w:hAnsi="Times New Roman" w:cs="Times New Roman"/>
          <w:sz w:val="24"/>
          <w:szCs w:val="24"/>
        </w:rPr>
        <w:t xml:space="preserve">antes del inicio del conflicto entre Rusia y Ucrania, </w:t>
      </w:r>
      <w:r w:rsidR="00E80FFA" w:rsidRPr="00AB4F72">
        <w:rPr>
          <w:rFonts w:ascii="Times New Roman" w:hAnsi="Times New Roman" w:cs="Times New Roman"/>
          <w:sz w:val="24"/>
          <w:szCs w:val="24"/>
        </w:rPr>
        <w:t>en el eje horizontal</w:t>
      </w:r>
      <w:r w:rsidR="00C22F1F" w:rsidRPr="00AB4F72">
        <w:rPr>
          <w:rFonts w:ascii="Times New Roman" w:hAnsi="Times New Roman" w:cs="Times New Roman"/>
          <w:sz w:val="24"/>
          <w:szCs w:val="24"/>
        </w:rPr>
        <w:t xml:space="preserve"> se ubica</w:t>
      </w:r>
      <w:r w:rsidR="00E80FFA" w:rsidRPr="00AB4F72">
        <w:rPr>
          <w:rFonts w:ascii="Times New Roman" w:hAnsi="Times New Roman" w:cs="Times New Roman"/>
          <w:sz w:val="24"/>
          <w:szCs w:val="24"/>
        </w:rPr>
        <w:t xml:space="preserve"> el tiempo en </w:t>
      </w:r>
      <w:r w:rsidR="00C22F1F" w:rsidRPr="00AB4F72">
        <w:rPr>
          <w:rFonts w:ascii="Times New Roman" w:hAnsi="Times New Roman" w:cs="Times New Roman"/>
          <w:sz w:val="24"/>
          <w:szCs w:val="24"/>
        </w:rPr>
        <w:t>días</w:t>
      </w:r>
      <w:r w:rsidR="00E80FFA" w:rsidRPr="00AB4F72">
        <w:rPr>
          <w:rFonts w:ascii="Times New Roman" w:hAnsi="Times New Roman" w:cs="Times New Roman"/>
          <w:sz w:val="24"/>
          <w:szCs w:val="24"/>
        </w:rPr>
        <w:t xml:space="preserve"> y en el eje vertical el precio de </w:t>
      </w:r>
      <w:r w:rsidR="00C22F1F" w:rsidRPr="00AB4F72">
        <w:rPr>
          <w:rFonts w:ascii="Times New Roman" w:hAnsi="Times New Roman" w:cs="Times New Roman"/>
          <w:sz w:val="24"/>
          <w:szCs w:val="24"/>
        </w:rPr>
        <w:t>cierre del petróleo Brent</w:t>
      </w:r>
      <w:r w:rsidR="003F413B" w:rsidRPr="00AB4F72">
        <w:rPr>
          <w:rFonts w:ascii="Times New Roman" w:hAnsi="Times New Roman" w:cs="Times New Roman"/>
          <w:sz w:val="24"/>
          <w:szCs w:val="24"/>
        </w:rPr>
        <w:t xml:space="preserve"> en dólares</w:t>
      </w:r>
      <w:r w:rsidR="00E80FFA" w:rsidRPr="00AB4F72">
        <w:rPr>
          <w:rFonts w:ascii="Times New Roman" w:hAnsi="Times New Roman" w:cs="Times New Roman"/>
          <w:sz w:val="24"/>
          <w:szCs w:val="24"/>
        </w:rPr>
        <w:t xml:space="preserve">. A simple vista, se puede observar que existe una relación positiva entre ambas variables </w:t>
      </w:r>
      <w:r w:rsidR="00DD0048" w:rsidRPr="00AB4F72">
        <w:rPr>
          <w:rFonts w:ascii="Times New Roman" w:hAnsi="Times New Roman" w:cs="Times New Roman"/>
          <w:sz w:val="24"/>
          <w:szCs w:val="24"/>
        </w:rPr>
        <w:t>durante los días</w:t>
      </w:r>
      <w:r w:rsidR="00D05317" w:rsidRPr="00AB4F72">
        <w:rPr>
          <w:rFonts w:ascii="Times New Roman" w:hAnsi="Times New Roman" w:cs="Times New Roman"/>
          <w:sz w:val="24"/>
          <w:szCs w:val="24"/>
        </w:rPr>
        <w:t xml:space="preserve"> hábiles</w:t>
      </w:r>
      <w:r w:rsidR="00DD0048" w:rsidRPr="00AB4F72">
        <w:rPr>
          <w:rFonts w:ascii="Times New Roman" w:hAnsi="Times New Roman" w:cs="Times New Roman"/>
          <w:sz w:val="24"/>
          <w:szCs w:val="24"/>
        </w:rPr>
        <w:t xml:space="preserve"> previos al conflicto</w:t>
      </w:r>
      <w:r w:rsidR="00E80FFA" w:rsidRPr="00AB4F72">
        <w:rPr>
          <w:rFonts w:ascii="Times New Roman" w:hAnsi="Times New Roman" w:cs="Times New Roman"/>
          <w:sz w:val="24"/>
          <w:szCs w:val="24"/>
        </w:rPr>
        <w:t xml:space="preserve">, conforme aumenta el tiempo en </w:t>
      </w:r>
      <w:r w:rsidR="00734C2E" w:rsidRPr="00AB4F72">
        <w:rPr>
          <w:rFonts w:ascii="Times New Roman" w:hAnsi="Times New Roman" w:cs="Times New Roman"/>
          <w:sz w:val="24"/>
          <w:szCs w:val="24"/>
        </w:rPr>
        <w:t>días</w:t>
      </w:r>
      <w:r w:rsidR="00E80FFA" w:rsidRPr="00AB4F72">
        <w:rPr>
          <w:rFonts w:ascii="Times New Roman" w:hAnsi="Times New Roman" w:cs="Times New Roman"/>
          <w:sz w:val="24"/>
          <w:szCs w:val="24"/>
        </w:rPr>
        <w:t>, el precio de</w:t>
      </w:r>
      <w:r w:rsidR="00734C2E" w:rsidRPr="00AB4F72">
        <w:rPr>
          <w:rFonts w:ascii="Times New Roman" w:hAnsi="Times New Roman" w:cs="Times New Roman"/>
          <w:sz w:val="24"/>
          <w:szCs w:val="24"/>
        </w:rPr>
        <w:t>l petróleo Brent en dólares</w:t>
      </w:r>
      <w:r w:rsidR="00E80FFA" w:rsidRPr="00AB4F72">
        <w:rPr>
          <w:rFonts w:ascii="Times New Roman" w:hAnsi="Times New Roman" w:cs="Times New Roman"/>
          <w:sz w:val="24"/>
          <w:szCs w:val="24"/>
        </w:rPr>
        <w:t xml:space="preserve"> aumenta. De </w:t>
      </w:r>
      <w:r w:rsidR="00734C2E" w:rsidRPr="00AB4F72">
        <w:rPr>
          <w:rFonts w:ascii="Times New Roman" w:hAnsi="Times New Roman" w:cs="Times New Roman"/>
          <w:sz w:val="24"/>
          <w:szCs w:val="24"/>
        </w:rPr>
        <w:t xml:space="preserve">esta relación se obtuvo la siguiente </w:t>
      </w:r>
      <w:r w:rsidR="00E80FFA" w:rsidRPr="00AB4F72">
        <w:rPr>
          <w:rFonts w:ascii="Times New Roman" w:hAnsi="Times New Roman" w:cs="Times New Roman"/>
          <w:sz w:val="24"/>
          <w:szCs w:val="24"/>
        </w:rPr>
        <w:t>ecuación:</w:t>
      </w:r>
    </w:p>
    <w:p w14:paraId="2CC9F020" w14:textId="0EB65622" w:rsidR="00E80FFA" w:rsidRPr="00AB4F72" w:rsidRDefault="00E80FFA"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sz w:val="24"/>
          <w:szCs w:val="24"/>
        </w:rPr>
        <w:t xml:space="preserve">Y = </w:t>
      </w:r>
      <w:r w:rsidR="003841EA" w:rsidRPr="00AB4F72">
        <w:rPr>
          <w:rFonts w:ascii="Times New Roman" w:hAnsi="Times New Roman" w:cs="Times New Roman"/>
          <w:sz w:val="24"/>
          <w:szCs w:val="24"/>
        </w:rPr>
        <w:t>0,4292X+80,542</w:t>
      </w:r>
      <w:r w:rsidR="00A72A47" w:rsidRPr="00AB4F72">
        <w:rPr>
          <w:rFonts w:ascii="Times New Roman" w:hAnsi="Times New Roman" w:cs="Times New Roman"/>
          <w:sz w:val="24"/>
          <w:szCs w:val="24"/>
        </w:rPr>
        <w:t xml:space="preserve"> </w:t>
      </w:r>
      <w:r w:rsidR="00A72A47" w:rsidRPr="00AB4F72">
        <w:rPr>
          <w:rFonts w:ascii="Times New Roman" w:hAnsi="Times New Roman" w:cs="Times New Roman"/>
          <w:b/>
          <w:bCs/>
          <w:sz w:val="24"/>
          <w:szCs w:val="24"/>
        </w:rPr>
        <w:t>(1)</w:t>
      </w:r>
    </w:p>
    <w:p w14:paraId="706C37E8" w14:textId="43293956" w:rsidR="00C22F1F" w:rsidRPr="00AB4F72" w:rsidRDefault="00E80FFA"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Los coeficientes </w:t>
      </w:r>
      <w:r w:rsidR="00186F31" w:rsidRPr="00AB4F72">
        <w:rPr>
          <w:rFonts w:ascii="Times New Roman" w:hAnsi="Times New Roman" w:cs="Times New Roman"/>
          <w:sz w:val="24"/>
          <w:szCs w:val="24"/>
        </w:rPr>
        <w:t>0,4292</w:t>
      </w:r>
      <w:r w:rsidRPr="00AB4F72">
        <w:rPr>
          <w:rFonts w:ascii="Times New Roman" w:hAnsi="Times New Roman" w:cs="Times New Roman"/>
          <w:sz w:val="24"/>
          <w:szCs w:val="24"/>
        </w:rPr>
        <w:t xml:space="preserve"> y </w:t>
      </w:r>
      <w:r w:rsidR="00186F31" w:rsidRPr="00AB4F72">
        <w:rPr>
          <w:rFonts w:ascii="Times New Roman" w:hAnsi="Times New Roman" w:cs="Times New Roman"/>
          <w:sz w:val="24"/>
          <w:szCs w:val="24"/>
        </w:rPr>
        <w:t>80,542</w:t>
      </w:r>
      <w:r w:rsidRPr="00AB4F72">
        <w:rPr>
          <w:rFonts w:ascii="Times New Roman" w:hAnsi="Times New Roman" w:cs="Times New Roman"/>
          <w:sz w:val="24"/>
          <w:szCs w:val="24"/>
        </w:rPr>
        <w:t xml:space="preserve"> definen la recta. El coeficiente </w:t>
      </w:r>
      <w:r w:rsidR="003841EA" w:rsidRPr="00AB4F72">
        <w:rPr>
          <w:rFonts w:ascii="Times New Roman" w:hAnsi="Times New Roman" w:cs="Times New Roman"/>
          <w:sz w:val="24"/>
          <w:szCs w:val="24"/>
        </w:rPr>
        <w:t>0,4292</w:t>
      </w:r>
      <w:r w:rsidRPr="00AB4F72">
        <w:rPr>
          <w:rFonts w:ascii="Times New Roman" w:hAnsi="Times New Roman" w:cs="Times New Roman"/>
          <w:sz w:val="24"/>
          <w:szCs w:val="24"/>
        </w:rPr>
        <w:t xml:space="preserve"> es la pendiente de la recta; el cambio medio que se obtiene en el puntaje (Y) por cada unidad de cambio que se produce de tiempo en </w:t>
      </w:r>
      <w:r w:rsidR="003841EA" w:rsidRPr="00AB4F72">
        <w:rPr>
          <w:rFonts w:ascii="Times New Roman" w:hAnsi="Times New Roman" w:cs="Times New Roman"/>
          <w:sz w:val="24"/>
          <w:szCs w:val="24"/>
        </w:rPr>
        <w:t>días</w:t>
      </w:r>
      <w:r w:rsidRPr="00AB4F72">
        <w:rPr>
          <w:rFonts w:ascii="Times New Roman" w:hAnsi="Times New Roman" w:cs="Times New Roman"/>
          <w:sz w:val="24"/>
          <w:szCs w:val="24"/>
        </w:rPr>
        <w:t xml:space="preserve"> (X) le corresponde un incremento de </w:t>
      </w:r>
      <w:r w:rsidR="003841EA" w:rsidRPr="00AB4F72">
        <w:rPr>
          <w:rFonts w:ascii="Times New Roman" w:hAnsi="Times New Roman" w:cs="Times New Roman"/>
          <w:sz w:val="24"/>
          <w:szCs w:val="24"/>
        </w:rPr>
        <w:t>80,542</w:t>
      </w:r>
      <w:r w:rsidRPr="00AB4F72">
        <w:rPr>
          <w:rFonts w:ascii="Times New Roman" w:hAnsi="Times New Roman" w:cs="Times New Roman"/>
          <w:sz w:val="24"/>
          <w:szCs w:val="24"/>
        </w:rPr>
        <w:t xml:space="preserve"> puntaje (Y). </w:t>
      </w:r>
    </w:p>
    <w:p w14:paraId="1F898065" w14:textId="3E544578" w:rsidR="00BC0B6F" w:rsidRPr="00AB4F72" w:rsidRDefault="00BC0B6F" w:rsidP="00D735BF">
      <w:pPr>
        <w:spacing w:line="360" w:lineRule="auto"/>
        <w:jc w:val="both"/>
        <w:rPr>
          <w:rFonts w:ascii="Times New Roman" w:hAnsi="Times New Roman" w:cs="Times New Roman"/>
          <w:sz w:val="24"/>
          <w:szCs w:val="24"/>
        </w:rPr>
      </w:pPr>
      <w:r w:rsidRPr="00AB4F72">
        <w:rPr>
          <w:rFonts w:ascii="Times New Roman" w:hAnsi="Times New Roman" w:cs="Times New Roman"/>
          <w:b/>
          <w:bCs/>
          <w:sz w:val="24"/>
          <w:szCs w:val="24"/>
        </w:rPr>
        <w:t>Coeficiente de determinación</w:t>
      </w:r>
      <w:r w:rsidRPr="00AB4F72">
        <w:rPr>
          <w:rFonts w:ascii="Times New Roman" w:hAnsi="Times New Roman" w:cs="Times New Roman"/>
          <w:sz w:val="24"/>
          <w:szCs w:val="24"/>
        </w:rPr>
        <w:t xml:space="preserve"> </w:t>
      </w:r>
      <w:r w:rsidRPr="00AB4F72">
        <w:rPr>
          <w:rFonts w:ascii="Times New Roman" w:hAnsi="Times New Roman" w:cs="Times New Roman"/>
          <w:b/>
          <w:bCs/>
          <w:sz w:val="24"/>
          <w:szCs w:val="24"/>
        </w:rPr>
        <w:t>(R</w:t>
      </w:r>
      <w:r w:rsidRPr="00AB4F72">
        <w:rPr>
          <w:rFonts w:ascii="Times New Roman" w:hAnsi="Times New Roman" w:cs="Times New Roman"/>
          <w:b/>
          <w:bCs/>
          <w:sz w:val="24"/>
          <w:szCs w:val="24"/>
          <w:vertAlign w:val="superscript"/>
        </w:rPr>
        <w:t>2</w:t>
      </w:r>
      <w:r w:rsidRPr="00AB4F72">
        <w:rPr>
          <w:rFonts w:ascii="Times New Roman" w:hAnsi="Times New Roman" w:cs="Times New Roman"/>
          <w:b/>
          <w:bCs/>
          <w:sz w:val="24"/>
          <w:szCs w:val="24"/>
        </w:rPr>
        <w:t>)</w:t>
      </w:r>
    </w:p>
    <w:p w14:paraId="0B1B1206" w14:textId="58D3B96B" w:rsidR="00440D29" w:rsidRPr="00AB4F72" w:rsidRDefault="00E45B84" w:rsidP="006A5AFD">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w:t>
      </w:r>
      <w:r w:rsidR="000E4F65" w:rsidRPr="00AB4F72">
        <w:rPr>
          <w:rFonts w:ascii="Times New Roman" w:hAnsi="Times New Roman" w:cs="Times New Roman"/>
          <w:sz w:val="24"/>
          <w:szCs w:val="24"/>
        </w:rPr>
        <w:t>El coeficiente de determinación es la proporción de la varianza total de la variable explicada por la regresión. El coeficiente de determinación, también llamado R cuadrado, refleja la bondad del ajuste de un modelo a la variable que pretender explicar</w:t>
      </w:r>
      <w:r w:rsidRPr="00AB4F72">
        <w:rPr>
          <w:rFonts w:ascii="Times New Roman" w:hAnsi="Times New Roman" w:cs="Times New Roman"/>
          <w:sz w:val="24"/>
          <w:szCs w:val="24"/>
        </w:rPr>
        <w:t>”</w:t>
      </w:r>
      <w:r w:rsidR="006A5AFD" w:rsidRPr="00AB4F72">
        <w:rPr>
          <w:rFonts w:ascii="Times New Roman" w:hAnsi="Times New Roman" w:cs="Times New Roman"/>
          <w:sz w:val="24"/>
          <w:szCs w:val="24"/>
        </w:rPr>
        <w:t>. (López,2017)</w:t>
      </w:r>
    </w:p>
    <w:p w14:paraId="4D7D2426" w14:textId="79D54317" w:rsidR="003A6E4D" w:rsidRPr="00AB4F72" w:rsidRDefault="003A6E4D" w:rsidP="006A5AFD">
      <w:pPr>
        <w:spacing w:line="360" w:lineRule="auto"/>
        <w:jc w:val="both"/>
        <w:rPr>
          <w:rFonts w:ascii="Times New Roman" w:hAnsi="Times New Roman" w:cs="Times New Roman"/>
          <w:sz w:val="24"/>
          <w:szCs w:val="24"/>
          <w:shd w:val="clear" w:color="auto" w:fill="FFFFFF"/>
        </w:rPr>
      </w:pPr>
      <w:r w:rsidRPr="00AB4F72">
        <w:rPr>
          <w:rFonts w:ascii="Times New Roman" w:hAnsi="Times New Roman" w:cs="Times New Roman"/>
          <w:sz w:val="24"/>
          <w:szCs w:val="24"/>
          <w:shd w:val="clear" w:color="auto" w:fill="FFFFFF"/>
        </w:rPr>
        <w:t xml:space="preserve">Según (López,2017), es relevante conocer que el resultado del coeficiente de determinación oscila entre 0 y 1. Cuanto más próximo de 1 se sitúe su valor, mayor será el ajuste del modelo a la variable que estamos pretendiendo exponer. De forma inversa, cuanto más cerca de cero, menos preciso estará el modelo y, </w:t>
      </w:r>
      <w:r w:rsidR="001B31CA" w:rsidRPr="00AB4F72">
        <w:rPr>
          <w:rFonts w:ascii="Times New Roman" w:hAnsi="Times New Roman" w:cs="Times New Roman"/>
          <w:sz w:val="24"/>
          <w:szCs w:val="24"/>
          <w:shd w:val="clear" w:color="auto" w:fill="FFFFFF"/>
        </w:rPr>
        <w:t>por ende</w:t>
      </w:r>
      <w:r w:rsidRPr="00AB4F72">
        <w:rPr>
          <w:rFonts w:ascii="Times New Roman" w:hAnsi="Times New Roman" w:cs="Times New Roman"/>
          <w:sz w:val="24"/>
          <w:szCs w:val="24"/>
          <w:shd w:val="clear" w:color="auto" w:fill="FFFFFF"/>
        </w:rPr>
        <w:t>, menos fidedigno será.</w:t>
      </w:r>
    </w:p>
    <w:p w14:paraId="057BC045" w14:textId="014934DE" w:rsidR="000F3E55" w:rsidRPr="00AB4F72" w:rsidRDefault="000F3E55" w:rsidP="006A5AFD">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shd w:val="clear" w:color="auto" w:fill="FFFFFF"/>
        </w:rPr>
        <w:t xml:space="preserve">Cómo podemos ver en </w:t>
      </w:r>
      <w:r w:rsidR="007C15F4" w:rsidRPr="00AB4F72">
        <w:rPr>
          <w:rFonts w:ascii="Times New Roman" w:hAnsi="Times New Roman" w:cs="Times New Roman"/>
          <w:sz w:val="24"/>
          <w:szCs w:val="24"/>
          <w:shd w:val="clear" w:color="auto" w:fill="FFFFFF"/>
        </w:rPr>
        <w:t xml:space="preserve">la </w:t>
      </w:r>
      <w:r w:rsidR="007C15F4" w:rsidRPr="00AB4F72">
        <w:rPr>
          <w:rFonts w:ascii="Times New Roman" w:hAnsi="Times New Roman" w:cs="Times New Roman"/>
          <w:b/>
          <w:bCs/>
          <w:sz w:val="24"/>
          <w:szCs w:val="24"/>
          <w:shd w:val="clear" w:color="auto" w:fill="FFFFFF"/>
        </w:rPr>
        <w:t>figura 2</w:t>
      </w:r>
      <w:r w:rsidRPr="00AB4F72">
        <w:rPr>
          <w:rFonts w:ascii="Times New Roman" w:hAnsi="Times New Roman" w:cs="Times New Roman"/>
          <w:sz w:val="24"/>
          <w:szCs w:val="24"/>
          <w:shd w:val="clear" w:color="auto" w:fill="FFFFFF"/>
        </w:rPr>
        <w:t xml:space="preserve">, la relación es positiva. A más </w:t>
      </w:r>
      <w:r w:rsidR="007C15F4" w:rsidRPr="00AB4F72">
        <w:rPr>
          <w:rFonts w:ascii="Times New Roman" w:hAnsi="Times New Roman" w:cs="Times New Roman"/>
          <w:sz w:val="24"/>
          <w:szCs w:val="24"/>
          <w:shd w:val="clear" w:color="auto" w:fill="FFFFFF"/>
        </w:rPr>
        <w:t>días transcurridos antes del conflicto entre Rusia y Ucrania</w:t>
      </w:r>
      <w:r w:rsidRPr="00AB4F72">
        <w:rPr>
          <w:rFonts w:ascii="Times New Roman" w:hAnsi="Times New Roman" w:cs="Times New Roman"/>
          <w:sz w:val="24"/>
          <w:szCs w:val="24"/>
          <w:shd w:val="clear" w:color="auto" w:fill="FFFFFF"/>
        </w:rPr>
        <w:t xml:space="preserve">, </w:t>
      </w:r>
      <w:r w:rsidR="007C15F4" w:rsidRPr="00AB4F72">
        <w:rPr>
          <w:rFonts w:ascii="Times New Roman" w:hAnsi="Times New Roman" w:cs="Times New Roman"/>
          <w:sz w:val="24"/>
          <w:szCs w:val="24"/>
          <w:shd w:val="clear" w:color="auto" w:fill="FFFFFF"/>
        </w:rPr>
        <w:t>se evidencia un aumento en el precio del petróleo Brent en dólares</w:t>
      </w:r>
      <w:r w:rsidRPr="00AB4F72">
        <w:rPr>
          <w:rFonts w:ascii="Times New Roman" w:hAnsi="Times New Roman" w:cs="Times New Roman"/>
          <w:sz w:val="24"/>
          <w:szCs w:val="24"/>
          <w:shd w:val="clear" w:color="auto" w:fill="FFFFFF"/>
        </w:rPr>
        <w:t>. El ajuste, según el cálculo del R cuadrado, es de 0,</w:t>
      </w:r>
      <w:r w:rsidR="007C15F4" w:rsidRPr="00AB4F72">
        <w:rPr>
          <w:rFonts w:ascii="Times New Roman" w:hAnsi="Times New Roman" w:cs="Times New Roman"/>
          <w:sz w:val="24"/>
          <w:szCs w:val="24"/>
          <w:shd w:val="clear" w:color="auto" w:fill="FFFFFF"/>
        </w:rPr>
        <w:t>928</w:t>
      </w:r>
      <w:r w:rsidRPr="00AB4F72">
        <w:rPr>
          <w:rFonts w:ascii="Times New Roman" w:hAnsi="Times New Roman" w:cs="Times New Roman"/>
          <w:sz w:val="24"/>
          <w:szCs w:val="24"/>
          <w:shd w:val="clear" w:color="auto" w:fill="FFFFFF"/>
        </w:rPr>
        <w:t xml:space="preserve">3. Esto </w:t>
      </w:r>
      <w:r w:rsidR="007C15F4" w:rsidRPr="00AB4F72">
        <w:rPr>
          <w:rFonts w:ascii="Times New Roman" w:hAnsi="Times New Roman" w:cs="Times New Roman"/>
          <w:sz w:val="24"/>
          <w:szCs w:val="24"/>
          <w:shd w:val="clear" w:color="auto" w:fill="FFFFFF"/>
        </w:rPr>
        <w:t>significa</w:t>
      </w:r>
      <w:r w:rsidRPr="00AB4F72">
        <w:rPr>
          <w:rFonts w:ascii="Times New Roman" w:hAnsi="Times New Roman" w:cs="Times New Roman"/>
          <w:sz w:val="24"/>
          <w:szCs w:val="24"/>
          <w:shd w:val="clear" w:color="auto" w:fill="FFFFFF"/>
        </w:rPr>
        <w:t xml:space="preserve"> que es un modelo cuyas estimaciones se ajustan bastante bien a la variable real</w:t>
      </w:r>
      <w:r w:rsidR="007C15F4" w:rsidRPr="00AB4F72">
        <w:rPr>
          <w:rFonts w:ascii="Times New Roman" w:hAnsi="Times New Roman" w:cs="Times New Roman"/>
          <w:sz w:val="24"/>
          <w:szCs w:val="24"/>
          <w:shd w:val="clear" w:color="auto" w:fill="FFFFFF"/>
        </w:rPr>
        <w:t xml:space="preserve">, </w:t>
      </w:r>
      <w:r w:rsidRPr="00AB4F72">
        <w:rPr>
          <w:rFonts w:ascii="Times New Roman" w:hAnsi="Times New Roman" w:cs="Times New Roman"/>
          <w:sz w:val="24"/>
          <w:szCs w:val="24"/>
          <w:shd w:val="clear" w:color="auto" w:fill="FFFFFF"/>
        </w:rPr>
        <w:t xml:space="preserve">podríamos decir que el modelo explica en un </w:t>
      </w:r>
      <w:r w:rsidR="007C15F4" w:rsidRPr="00AB4F72">
        <w:rPr>
          <w:rFonts w:ascii="Times New Roman" w:hAnsi="Times New Roman" w:cs="Times New Roman"/>
          <w:sz w:val="24"/>
          <w:szCs w:val="24"/>
          <w:shd w:val="clear" w:color="auto" w:fill="FFFFFF"/>
        </w:rPr>
        <w:t>92,8</w:t>
      </w:r>
      <w:r w:rsidRPr="00AB4F72">
        <w:rPr>
          <w:rFonts w:ascii="Times New Roman" w:hAnsi="Times New Roman" w:cs="Times New Roman"/>
          <w:sz w:val="24"/>
          <w:szCs w:val="24"/>
          <w:shd w:val="clear" w:color="auto" w:fill="FFFFFF"/>
        </w:rPr>
        <w:t>% a la variable real.</w:t>
      </w:r>
    </w:p>
    <w:p w14:paraId="7051287F" w14:textId="337066B2" w:rsidR="000C6DE0" w:rsidRPr="00AB4F72" w:rsidRDefault="000C6DE0" w:rsidP="00D735BF">
      <w:pPr>
        <w:spacing w:line="360" w:lineRule="auto"/>
        <w:jc w:val="both"/>
        <w:rPr>
          <w:rFonts w:ascii="Times New Roman" w:hAnsi="Times New Roman" w:cs="Times New Roman"/>
          <w:sz w:val="24"/>
          <w:szCs w:val="24"/>
        </w:rPr>
      </w:pPr>
      <w:r w:rsidRPr="00AB4F72">
        <w:rPr>
          <w:rFonts w:ascii="Times New Roman" w:hAnsi="Times New Roman" w:cs="Times New Roman"/>
          <w:noProof/>
          <w:sz w:val="24"/>
          <w:szCs w:val="24"/>
        </w:rPr>
        <w:drawing>
          <wp:inline distT="0" distB="0" distL="0" distR="0" wp14:anchorId="7A20952D" wp14:editId="31262322">
            <wp:extent cx="5612130" cy="2838450"/>
            <wp:effectExtent l="0" t="0" r="7620" b="0"/>
            <wp:docPr id="1" name="Gráfico 1">
              <a:extLst xmlns:a="http://schemas.openxmlformats.org/drawingml/2006/main">
                <a:ext uri="{FF2B5EF4-FFF2-40B4-BE49-F238E27FC236}">
                  <a16:creationId xmlns:a16="http://schemas.microsoft.com/office/drawing/2014/main" id="{6765C94A-86AF-C31B-8873-EDFD49906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2BE71C5" w14:textId="74B3D7F9" w:rsidR="00E80FFA" w:rsidRPr="00AB4F72" w:rsidRDefault="00E80FFA" w:rsidP="00014356">
      <w:pPr>
        <w:spacing w:after="0" w:line="240" w:lineRule="auto"/>
        <w:jc w:val="center"/>
        <w:rPr>
          <w:rFonts w:ascii="Times New Roman" w:hAnsi="Times New Roman" w:cs="Times New Roman"/>
          <w:sz w:val="24"/>
          <w:szCs w:val="24"/>
        </w:rPr>
      </w:pPr>
      <w:r w:rsidRPr="00AB4F72">
        <w:rPr>
          <w:rFonts w:ascii="Times New Roman" w:hAnsi="Times New Roman" w:cs="Times New Roman"/>
          <w:b/>
          <w:bCs/>
          <w:sz w:val="24"/>
          <w:szCs w:val="24"/>
        </w:rPr>
        <w:t xml:space="preserve">Figura </w:t>
      </w:r>
      <w:r w:rsidR="005B2C14" w:rsidRPr="00AB4F72">
        <w:rPr>
          <w:rFonts w:ascii="Times New Roman" w:hAnsi="Times New Roman" w:cs="Times New Roman"/>
          <w:b/>
          <w:bCs/>
          <w:sz w:val="24"/>
          <w:szCs w:val="24"/>
        </w:rPr>
        <w:t>2</w:t>
      </w:r>
      <w:r w:rsidRPr="00AB4F72">
        <w:rPr>
          <w:rFonts w:ascii="Times New Roman" w:hAnsi="Times New Roman" w:cs="Times New Roman"/>
          <w:sz w:val="24"/>
          <w:szCs w:val="24"/>
        </w:rPr>
        <w:t>. Diagrama de dispersión y recta de regresión.</w:t>
      </w:r>
      <w:r w:rsidR="00C47A7A" w:rsidRPr="00AB4F72">
        <w:rPr>
          <w:rFonts w:ascii="Times New Roman" w:hAnsi="Times New Roman" w:cs="Times New Roman"/>
          <w:sz w:val="24"/>
          <w:szCs w:val="24"/>
        </w:rPr>
        <w:t xml:space="preserve"> </w:t>
      </w:r>
      <w:r w:rsidR="002A6095" w:rsidRPr="00AB4F72">
        <w:rPr>
          <w:rFonts w:ascii="Times New Roman" w:hAnsi="Times New Roman" w:cs="Times New Roman"/>
          <w:b/>
          <w:bCs/>
          <w:sz w:val="24"/>
          <w:szCs w:val="24"/>
        </w:rPr>
        <w:t>Fuente</w:t>
      </w:r>
      <w:r w:rsidR="002A6095" w:rsidRPr="00AB4F72">
        <w:rPr>
          <w:rFonts w:ascii="Times New Roman" w:hAnsi="Times New Roman" w:cs="Times New Roman"/>
          <w:sz w:val="24"/>
          <w:szCs w:val="24"/>
        </w:rPr>
        <w:t>: Elaboración propia del autor.</w:t>
      </w:r>
    </w:p>
    <w:p w14:paraId="1907E677" w14:textId="77777777" w:rsidR="00163C63" w:rsidRPr="00AB4F72" w:rsidRDefault="00163C63" w:rsidP="00014356">
      <w:pPr>
        <w:spacing w:after="0" w:line="240" w:lineRule="auto"/>
        <w:jc w:val="center"/>
        <w:rPr>
          <w:rFonts w:ascii="Times New Roman" w:hAnsi="Times New Roman" w:cs="Times New Roman"/>
          <w:sz w:val="24"/>
          <w:szCs w:val="24"/>
        </w:rPr>
      </w:pPr>
    </w:p>
    <w:p w14:paraId="2825E3DF" w14:textId="0A5A8471" w:rsidR="00734C2E" w:rsidRPr="00AB4F72" w:rsidRDefault="00734C2E" w:rsidP="00734C2E">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En la </w:t>
      </w:r>
      <w:r w:rsidRPr="00AB4F72">
        <w:rPr>
          <w:rFonts w:ascii="Times New Roman" w:hAnsi="Times New Roman" w:cs="Times New Roman"/>
          <w:b/>
          <w:bCs/>
          <w:sz w:val="24"/>
          <w:szCs w:val="24"/>
        </w:rPr>
        <w:t>figura 3</w:t>
      </w:r>
      <w:r w:rsidR="00C10920" w:rsidRPr="00AB4F72">
        <w:rPr>
          <w:rFonts w:ascii="Times New Roman" w:hAnsi="Times New Roman" w:cs="Times New Roman"/>
          <w:sz w:val="24"/>
          <w:szCs w:val="24"/>
        </w:rPr>
        <w:t xml:space="preserve"> se aprecia</w:t>
      </w:r>
      <w:r w:rsidRPr="00AB4F72">
        <w:rPr>
          <w:rFonts w:ascii="Times New Roman" w:hAnsi="Times New Roman" w:cs="Times New Roman"/>
          <w:sz w:val="24"/>
          <w:szCs w:val="24"/>
        </w:rPr>
        <w:t xml:space="preserve"> la tendencia del petróleo Brent entre el 2</w:t>
      </w:r>
      <w:r w:rsidR="00693B2A" w:rsidRPr="00AB4F72">
        <w:rPr>
          <w:rFonts w:ascii="Times New Roman" w:hAnsi="Times New Roman" w:cs="Times New Roman"/>
          <w:sz w:val="24"/>
          <w:szCs w:val="24"/>
        </w:rPr>
        <w:t>4</w:t>
      </w:r>
      <w:r w:rsidRPr="00AB4F72">
        <w:rPr>
          <w:rFonts w:ascii="Times New Roman" w:hAnsi="Times New Roman" w:cs="Times New Roman"/>
          <w:sz w:val="24"/>
          <w:szCs w:val="24"/>
        </w:rPr>
        <w:t xml:space="preserve"> de </w:t>
      </w:r>
      <w:r w:rsidR="00693B2A" w:rsidRPr="00AB4F72">
        <w:rPr>
          <w:rFonts w:ascii="Times New Roman" w:hAnsi="Times New Roman" w:cs="Times New Roman"/>
          <w:sz w:val="24"/>
          <w:szCs w:val="24"/>
        </w:rPr>
        <w:t xml:space="preserve">febrero </w:t>
      </w:r>
      <w:r w:rsidR="00FE5294" w:rsidRPr="00AB4F72">
        <w:rPr>
          <w:rFonts w:ascii="Times New Roman" w:hAnsi="Times New Roman" w:cs="Times New Roman"/>
          <w:sz w:val="24"/>
          <w:szCs w:val="24"/>
        </w:rPr>
        <w:t>al 3</w:t>
      </w:r>
      <w:r w:rsidRPr="00AB4F72">
        <w:rPr>
          <w:rFonts w:ascii="Times New Roman" w:hAnsi="Times New Roman" w:cs="Times New Roman"/>
          <w:sz w:val="24"/>
          <w:szCs w:val="24"/>
        </w:rPr>
        <w:t xml:space="preserve"> </w:t>
      </w:r>
      <w:r w:rsidR="00693B2A" w:rsidRPr="00AB4F72">
        <w:rPr>
          <w:rFonts w:ascii="Times New Roman" w:hAnsi="Times New Roman" w:cs="Times New Roman"/>
          <w:sz w:val="24"/>
          <w:szCs w:val="24"/>
        </w:rPr>
        <w:t xml:space="preserve">de </w:t>
      </w:r>
      <w:r w:rsidR="00FE5294" w:rsidRPr="00AB4F72">
        <w:rPr>
          <w:rFonts w:ascii="Times New Roman" w:hAnsi="Times New Roman" w:cs="Times New Roman"/>
          <w:sz w:val="24"/>
          <w:szCs w:val="24"/>
        </w:rPr>
        <w:t>junio 2022</w:t>
      </w:r>
      <w:r w:rsidRPr="00AB4F72">
        <w:rPr>
          <w:rFonts w:ascii="Times New Roman" w:hAnsi="Times New Roman" w:cs="Times New Roman"/>
          <w:sz w:val="24"/>
          <w:szCs w:val="24"/>
        </w:rPr>
        <w:t xml:space="preserve"> </w:t>
      </w:r>
      <w:r w:rsidR="00693B2A" w:rsidRPr="00AB4F72">
        <w:rPr>
          <w:rFonts w:ascii="Times New Roman" w:hAnsi="Times New Roman" w:cs="Times New Roman"/>
          <w:sz w:val="24"/>
          <w:szCs w:val="24"/>
        </w:rPr>
        <w:t xml:space="preserve">en este período de tiempo se cumplen 100 días </w:t>
      </w:r>
      <w:r w:rsidRPr="00AB4F72">
        <w:rPr>
          <w:rFonts w:ascii="Times New Roman" w:hAnsi="Times New Roman" w:cs="Times New Roman"/>
          <w:sz w:val="24"/>
          <w:szCs w:val="24"/>
        </w:rPr>
        <w:t xml:space="preserve">del inicio del conflicto entre Rusia y Ucrania, en el eje horizontal se ubica el tiempo en días y en el eje vertical el precio de cierre del petróleo Brent en dólares. A simple vista, se puede observar que existe una relación positiva entre ambas variables durante los </w:t>
      </w:r>
      <w:r w:rsidR="00FE5294" w:rsidRPr="00AB4F72">
        <w:rPr>
          <w:rFonts w:ascii="Times New Roman" w:hAnsi="Times New Roman" w:cs="Times New Roman"/>
          <w:sz w:val="24"/>
          <w:szCs w:val="24"/>
        </w:rPr>
        <w:t>100</w:t>
      </w:r>
      <w:r w:rsidRPr="00AB4F72">
        <w:rPr>
          <w:rFonts w:ascii="Times New Roman" w:hAnsi="Times New Roman" w:cs="Times New Roman"/>
          <w:sz w:val="24"/>
          <w:szCs w:val="24"/>
        </w:rPr>
        <w:t xml:space="preserve"> </w:t>
      </w:r>
      <w:r w:rsidR="00FE5294" w:rsidRPr="00AB4F72">
        <w:rPr>
          <w:rFonts w:ascii="Times New Roman" w:hAnsi="Times New Roman" w:cs="Times New Roman"/>
          <w:sz w:val="24"/>
          <w:szCs w:val="24"/>
        </w:rPr>
        <w:t xml:space="preserve">primeros </w:t>
      </w:r>
      <w:r w:rsidRPr="00AB4F72">
        <w:rPr>
          <w:rFonts w:ascii="Times New Roman" w:hAnsi="Times New Roman" w:cs="Times New Roman"/>
          <w:sz w:val="24"/>
          <w:szCs w:val="24"/>
        </w:rPr>
        <w:t xml:space="preserve">días </w:t>
      </w:r>
      <w:r w:rsidR="00FE5294" w:rsidRPr="00AB4F72">
        <w:rPr>
          <w:rFonts w:ascii="Times New Roman" w:hAnsi="Times New Roman" w:cs="Times New Roman"/>
          <w:sz w:val="24"/>
          <w:szCs w:val="24"/>
        </w:rPr>
        <w:t>del</w:t>
      </w:r>
      <w:r w:rsidRPr="00AB4F72">
        <w:rPr>
          <w:rFonts w:ascii="Times New Roman" w:hAnsi="Times New Roman" w:cs="Times New Roman"/>
          <w:sz w:val="24"/>
          <w:szCs w:val="24"/>
        </w:rPr>
        <w:t xml:space="preserve"> conflicto, conforme aumenta el tiempo en días, el precio del petróleo Brent en dólares aumenta</w:t>
      </w:r>
      <w:r w:rsidR="00603139" w:rsidRPr="00AB4F72">
        <w:rPr>
          <w:rFonts w:ascii="Times New Roman" w:hAnsi="Times New Roman" w:cs="Times New Roman"/>
          <w:sz w:val="24"/>
          <w:szCs w:val="24"/>
        </w:rPr>
        <w:t xml:space="preserve">, es de resaltar que el día </w:t>
      </w:r>
      <w:r w:rsidR="009C77A2" w:rsidRPr="00AB4F72">
        <w:rPr>
          <w:rFonts w:ascii="Times New Roman" w:hAnsi="Times New Roman" w:cs="Times New Roman"/>
          <w:sz w:val="24"/>
          <w:szCs w:val="24"/>
        </w:rPr>
        <w:t>8 de marzo de 2022 se presentó el mayor precio de cierre del petróleo Brent con una cotización de 129 USD</w:t>
      </w:r>
      <w:r w:rsidRPr="00AB4F72">
        <w:rPr>
          <w:rFonts w:ascii="Times New Roman" w:hAnsi="Times New Roman" w:cs="Times New Roman"/>
          <w:sz w:val="24"/>
          <w:szCs w:val="24"/>
        </w:rPr>
        <w:t xml:space="preserve">. </w:t>
      </w:r>
      <w:r w:rsidR="00940C84" w:rsidRPr="00AB4F72">
        <w:rPr>
          <w:rFonts w:ascii="Times New Roman" w:hAnsi="Times New Roman" w:cs="Times New Roman"/>
          <w:sz w:val="24"/>
          <w:szCs w:val="24"/>
        </w:rPr>
        <w:t>Ahora, d</w:t>
      </w:r>
      <w:r w:rsidRPr="00AB4F72">
        <w:rPr>
          <w:rFonts w:ascii="Times New Roman" w:hAnsi="Times New Roman" w:cs="Times New Roman"/>
          <w:sz w:val="24"/>
          <w:szCs w:val="24"/>
        </w:rPr>
        <w:t>e esta relación se obtuvo la siguiente ecuación:</w:t>
      </w:r>
    </w:p>
    <w:p w14:paraId="50A3ADC3" w14:textId="689FED28" w:rsidR="00734C2E" w:rsidRPr="00AB4F72" w:rsidRDefault="00734C2E" w:rsidP="00734C2E">
      <w:pPr>
        <w:spacing w:line="360" w:lineRule="auto"/>
        <w:jc w:val="both"/>
        <w:rPr>
          <w:rFonts w:ascii="Times New Roman" w:hAnsi="Times New Roman" w:cs="Times New Roman"/>
          <w:b/>
          <w:bCs/>
          <w:sz w:val="24"/>
          <w:szCs w:val="24"/>
        </w:rPr>
      </w:pPr>
      <w:r w:rsidRPr="00AB4F72">
        <w:rPr>
          <w:rFonts w:ascii="Times New Roman" w:hAnsi="Times New Roman" w:cs="Times New Roman"/>
          <w:sz w:val="24"/>
          <w:szCs w:val="24"/>
        </w:rPr>
        <w:t>Y = 0,</w:t>
      </w:r>
      <w:r w:rsidR="00C0120C" w:rsidRPr="00AB4F72">
        <w:rPr>
          <w:rFonts w:ascii="Times New Roman" w:hAnsi="Times New Roman" w:cs="Times New Roman"/>
          <w:sz w:val="24"/>
          <w:szCs w:val="24"/>
        </w:rPr>
        <w:t>0446</w:t>
      </w:r>
      <w:r w:rsidRPr="00AB4F72">
        <w:rPr>
          <w:rFonts w:ascii="Times New Roman" w:hAnsi="Times New Roman" w:cs="Times New Roman"/>
          <w:sz w:val="24"/>
          <w:szCs w:val="24"/>
        </w:rPr>
        <w:t>X+</w:t>
      </w:r>
      <w:r w:rsidR="00C0120C" w:rsidRPr="00AB4F72">
        <w:rPr>
          <w:rFonts w:ascii="Times New Roman" w:hAnsi="Times New Roman" w:cs="Times New Roman"/>
          <w:sz w:val="24"/>
          <w:szCs w:val="24"/>
        </w:rPr>
        <w:t>10</w:t>
      </w:r>
      <w:r w:rsidRPr="00AB4F72">
        <w:rPr>
          <w:rFonts w:ascii="Times New Roman" w:hAnsi="Times New Roman" w:cs="Times New Roman"/>
          <w:sz w:val="24"/>
          <w:szCs w:val="24"/>
        </w:rPr>
        <w:t>8</w:t>
      </w:r>
      <w:r w:rsidR="00C0120C" w:rsidRPr="00AB4F72">
        <w:rPr>
          <w:rFonts w:ascii="Times New Roman" w:hAnsi="Times New Roman" w:cs="Times New Roman"/>
          <w:sz w:val="24"/>
          <w:szCs w:val="24"/>
        </w:rPr>
        <w:t>,08</w:t>
      </w:r>
      <w:r w:rsidRPr="00AB4F72">
        <w:rPr>
          <w:rFonts w:ascii="Times New Roman" w:hAnsi="Times New Roman" w:cs="Times New Roman"/>
          <w:sz w:val="24"/>
          <w:szCs w:val="24"/>
        </w:rPr>
        <w:t xml:space="preserve"> </w:t>
      </w:r>
      <w:r w:rsidRPr="00AB4F72">
        <w:rPr>
          <w:rFonts w:ascii="Times New Roman" w:hAnsi="Times New Roman" w:cs="Times New Roman"/>
          <w:b/>
          <w:bCs/>
          <w:sz w:val="24"/>
          <w:szCs w:val="24"/>
        </w:rPr>
        <w:t>(</w:t>
      </w:r>
      <w:r w:rsidR="00C0120C" w:rsidRPr="00AB4F72">
        <w:rPr>
          <w:rFonts w:ascii="Times New Roman" w:hAnsi="Times New Roman" w:cs="Times New Roman"/>
          <w:b/>
          <w:bCs/>
          <w:sz w:val="24"/>
          <w:szCs w:val="24"/>
        </w:rPr>
        <w:t>2</w:t>
      </w:r>
      <w:r w:rsidRPr="00AB4F72">
        <w:rPr>
          <w:rFonts w:ascii="Times New Roman" w:hAnsi="Times New Roman" w:cs="Times New Roman"/>
          <w:b/>
          <w:bCs/>
          <w:sz w:val="24"/>
          <w:szCs w:val="24"/>
        </w:rPr>
        <w:t>)</w:t>
      </w:r>
    </w:p>
    <w:p w14:paraId="324E042E" w14:textId="10859B3C" w:rsidR="00734C2E" w:rsidRPr="00AB4F72" w:rsidRDefault="00734C2E" w:rsidP="00734C2E">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Los coeficientes 0,</w:t>
      </w:r>
      <w:r w:rsidR="00C0120C" w:rsidRPr="00AB4F72">
        <w:rPr>
          <w:rFonts w:ascii="Times New Roman" w:hAnsi="Times New Roman" w:cs="Times New Roman"/>
          <w:sz w:val="24"/>
          <w:szCs w:val="24"/>
        </w:rPr>
        <w:t>0446</w:t>
      </w:r>
      <w:r w:rsidRPr="00AB4F72">
        <w:rPr>
          <w:rFonts w:ascii="Times New Roman" w:hAnsi="Times New Roman" w:cs="Times New Roman"/>
          <w:sz w:val="24"/>
          <w:szCs w:val="24"/>
        </w:rPr>
        <w:t xml:space="preserve"> y </w:t>
      </w:r>
      <w:r w:rsidR="00C0120C" w:rsidRPr="00AB4F72">
        <w:rPr>
          <w:rFonts w:ascii="Times New Roman" w:hAnsi="Times New Roman" w:cs="Times New Roman"/>
          <w:sz w:val="24"/>
          <w:szCs w:val="24"/>
        </w:rPr>
        <w:t>108</w:t>
      </w:r>
      <w:r w:rsidRPr="00AB4F72">
        <w:rPr>
          <w:rFonts w:ascii="Times New Roman" w:hAnsi="Times New Roman" w:cs="Times New Roman"/>
          <w:sz w:val="24"/>
          <w:szCs w:val="24"/>
        </w:rPr>
        <w:t>,</w:t>
      </w:r>
      <w:r w:rsidR="00C0120C" w:rsidRPr="00AB4F72">
        <w:rPr>
          <w:rFonts w:ascii="Times New Roman" w:hAnsi="Times New Roman" w:cs="Times New Roman"/>
          <w:sz w:val="24"/>
          <w:szCs w:val="24"/>
        </w:rPr>
        <w:t>08</w:t>
      </w:r>
      <w:r w:rsidRPr="00AB4F72">
        <w:rPr>
          <w:rFonts w:ascii="Times New Roman" w:hAnsi="Times New Roman" w:cs="Times New Roman"/>
          <w:sz w:val="24"/>
          <w:szCs w:val="24"/>
        </w:rPr>
        <w:t xml:space="preserve"> definen la recta. El coeficiente 0,</w:t>
      </w:r>
      <w:r w:rsidR="00C0120C" w:rsidRPr="00AB4F72">
        <w:rPr>
          <w:rFonts w:ascii="Times New Roman" w:hAnsi="Times New Roman" w:cs="Times New Roman"/>
          <w:sz w:val="24"/>
          <w:szCs w:val="24"/>
        </w:rPr>
        <w:t>0</w:t>
      </w:r>
      <w:r w:rsidRPr="00AB4F72">
        <w:rPr>
          <w:rFonts w:ascii="Times New Roman" w:hAnsi="Times New Roman" w:cs="Times New Roman"/>
          <w:sz w:val="24"/>
          <w:szCs w:val="24"/>
        </w:rPr>
        <w:t>4</w:t>
      </w:r>
      <w:r w:rsidR="00C0120C" w:rsidRPr="00AB4F72">
        <w:rPr>
          <w:rFonts w:ascii="Times New Roman" w:hAnsi="Times New Roman" w:cs="Times New Roman"/>
          <w:sz w:val="24"/>
          <w:szCs w:val="24"/>
        </w:rPr>
        <w:t>46</w:t>
      </w:r>
      <w:r w:rsidRPr="00AB4F72">
        <w:rPr>
          <w:rFonts w:ascii="Times New Roman" w:hAnsi="Times New Roman" w:cs="Times New Roman"/>
          <w:sz w:val="24"/>
          <w:szCs w:val="24"/>
        </w:rPr>
        <w:t xml:space="preserve"> es la pendiente de la recta; el cambio medio que se obtiene en el puntaje (Y) por cada unidad de cambio que se produce de tiempo en días (X) le corresponde un incremento de </w:t>
      </w:r>
      <w:r w:rsidR="00C0120C" w:rsidRPr="00AB4F72">
        <w:rPr>
          <w:rFonts w:ascii="Times New Roman" w:hAnsi="Times New Roman" w:cs="Times New Roman"/>
          <w:sz w:val="24"/>
          <w:szCs w:val="24"/>
        </w:rPr>
        <w:t>108</w:t>
      </w:r>
      <w:r w:rsidRPr="00AB4F72">
        <w:rPr>
          <w:rFonts w:ascii="Times New Roman" w:hAnsi="Times New Roman" w:cs="Times New Roman"/>
          <w:sz w:val="24"/>
          <w:szCs w:val="24"/>
        </w:rPr>
        <w:t>,</w:t>
      </w:r>
      <w:r w:rsidR="00C0120C" w:rsidRPr="00AB4F72">
        <w:rPr>
          <w:rFonts w:ascii="Times New Roman" w:hAnsi="Times New Roman" w:cs="Times New Roman"/>
          <w:sz w:val="24"/>
          <w:szCs w:val="24"/>
        </w:rPr>
        <w:t>08</w:t>
      </w:r>
      <w:r w:rsidRPr="00AB4F72">
        <w:rPr>
          <w:rFonts w:ascii="Times New Roman" w:hAnsi="Times New Roman" w:cs="Times New Roman"/>
          <w:sz w:val="24"/>
          <w:szCs w:val="24"/>
        </w:rPr>
        <w:t xml:space="preserve"> puntaje (Y). </w:t>
      </w:r>
    </w:p>
    <w:p w14:paraId="7A10E418" w14:textId="0E35F201" w:rsidR="00C0120C" w:rsidRPr="00AB4F72" w:rsidRDefault="00C0120C" w:rsidP="00734C2E">
      <w:pPr>
        <w:spacing w:line="360" w:lineRule="auto"/>
        <w:jc w:val="both"/>
        <w:rPr>
          <w:rFonts w:ascii="Times New Roman" w:hAnsi="Times New Roman" w:cs="Times New Roman"/>
          <w:sz w:val="24"/>
          <w:szCs w:val="24"/>
        </w:rPr>
      </w:pPr>
      <w:r w:rsidRPr="00AB4F72">
        <w:rPr>
          <w:rFonts w:ascii="Times New Roman" w:hAnsi="Times New Roman" w:cs="Times New Roman"/>
          <w:noProof/>
          <w:sz w:val="24"/>
          <w:szCs w:val="24"/>
        </w:rPr>
        <w:drawing>
          <wp:inline distT="0" distB="0" distL="0" distR="0" wp14:anchorId="4691BB72" wp14:editId="17FC654A">
            <wp:extent cx="5543550" cy="3167063"/>
            <wp:effectExtent l="0" t="0" r="0" b="14605"/>
            <wp:docPr id="2" name="Gráfico 2">
              <a:extLst xmlns:a="http://schemas.openxmlformats.org/drawingml/2006/main">
                <a:ext uri="{FF2B5EF4-FFF2-40B4-BE49-F238E27FC236}">
                  <a16:creationId xmlns:a16="http://schemas.microsoft.com/office/drawing/2014/main" id="{5B4DB1D7-FC1B-3A14-6DE9-205011350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D8446F" w14:textId="656D6DE3" w:rsidR="00EE6B22" w:rsidRPr="00AB4F72" w:rsidRDefault="00EE6B22" w:rsidP="00C47A7A">
      <w:pPr>
        <w:spacing w:after="0" w:line="240" w:lineRule="auto"/>
        <w:jc w:val="center"/>
        <w:rPr>
          <w:rFonts w:ascii="Times New Roman" w:hAnsi="Times New Roman" w:cs="Times New Roman"/>
          <w:sz w:val="24"/>
          <w:szCs w:val="24"/>
        </w:rPr>
      </w:pPr>
      <w:r w:rsidRPr="00AB4F72">
        <w:rPr>
          <w:rFonts w:ascii="Times New Roman" w:hAnsi="Times New Roman" w:cs="Times New Roman"/>
          <w:b/>
          <w:bCs/>
          <w:sz w:val="24"/>
          <w:szCs w:val="24"/>
        </w:rPr>
        <w:t>Figura 3</w:t>
      </w:r>
      <w:r w:rsidRPr="00AB4F72">
        <w:rPr>
          <w:rFonts w:ascii="Times New Roman" w:hAnsi="Times New Roman" w:cs="Times New Roman"/>
          <w:sz w:val="24"/>
          <w:szCs w:val="24"/>
        </w:rPr>
        <w:t>. Días y precio del petróleo Brent durante el conflicto entre Rusia y Ucrania.</w:t>
      </w:r>
      <w:r w:rsidR="00C47A7A" w:rsidRPr="00AB4F72">
        <w:rPr>
          <w:rFonts w:ascii="Times New Roman" w:hAnsi="Times New Roman" w:cs="Times New Roman"/>
          <w:sz w:val="24"/>
          <w:szCs w:val="24"/>
        </w:rPr>
        <w:t xml:space="preserve"> </w:t>
      </w:r>
      <w:r w:rsidRPr="00AB4F72">
        <w:rPr>
          <w:rFonts w:ascii="Times New Roman" w:hAnsi="Times New Roman" w:cs="Times New Roman"/>
          <w:b/>
          <w:bCs/>
          <w:sz w:val="24"/>
          <w:szCs w:val="24"/>
        </w:rPr>
        <w:t>Fuente</w:t>
      </w:r>
      <w:r w:rsidRPr="00AB4F72">
        <w:rPr>
          <w:rFonts w:ascii="Times New Roman" w:hAnsi="Times New Roman" w:cs="Times New Roman"/>
          <w:sz w:val="24"/>
          <w:szCs w:val="24"/>
        </w:rPr>
        <w:t>: Elaboración propia del autor.</w:t>
      </w:r>
    </w:p>
    <w:p w14:paraId="033EA904" w14:textId="77777777" w:rsidR="00404F5D" w:rsidRPr="00AB4F72" w:rsidRDefault="00404F5D" w:rsidP="00D735BF">
      <w:pPr>
        <w:spacing w:line="360" w:lineRule="auto"/>
        <w:jc w:val="both"/>
        <w:rPr>
          <w:rFonts w:ascii="Times New Roman" w:hAnsi="Times New Roman" w:cs="Times New Roman"/>
          <w:sz w:val="24"/>
          <w:szCs w:val="24"/>
        </w:rPr>
      </w:pPr>
    </w:p>
    <w:p w14:paraId="4F3BFE03" w14:textId="5D29C44C" w:rsidR="00404F5D" w:rsidRPr="00AB4F72" w:rsidRDefault="00404F5D" w:rsidP="00D735BF">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Con la ecuación (2), podemos realizar un pronóstico del precio del petróleo Brent hasta finalizar el año 2022</w:t>
      </w:r>
      <w:r w:rsidR="009C53AD" w:rsidRPr="00AB4F72">
        <w:rPr>
          <w:rFonts w:ascii="Times New Roman" w:hAnsi="Times New Roman" w:cs="Times New Roman"/>
          <w:sz w:val="24"/>
          <w:szCs w:val="24"/>
        </w:rPr>
        <w:t xml:space="preserve">, esto teniendo en cuenta que el conflicto entre Rusia y Ucrania continuará hasta fin del año 2022. En </w:t>
      </w:r>
      <w:r w:rsidR="00A9442B" w:rsidRPr="00AB4F72">
        <w:rPr>
          <w:rFonts w:ascii="Times New Roman" w:hAnsi="Times New Roman" w:cs="Times New Roman"/>
          <w:sz w:val="24"/>
          <w:szCs w:val="24"/>
        </w:rPr>
        <w:t>la tabla 4 se observa el pronóstico del precio del petróleo Brent hasta diciembre de 2022.</w:t>
      </w:r>
      <w:r w:rsidR="00F678E6" w:rsidRPr="00AB4F72">
        <w:rPr>
          <w:rFonts w:ascii="Times New Roman" w:hAnsi="Times New Roman" w:cs="Times New Roman"/>
          <w:sz w:val="24"/>
          <w:szCs w:val="24"/>
        </w:rPr>
        <w:t xml:space="preserve"> Y podemos inferir que el precio del petróleo Brent al finalizar el año 2022 se estaría cotizando a 118, 07 USD.</w:t>
      </w:r>
    </w:p>
    <w:p w14:paraId="123F909C" w14:textId="233591C8" w:rsidR="00A9442B" w:rsidRPr="00AB4F72" w:rsidRDefault="005647C7" w:rsidP="00DD574D">
      <w:pPr>
        <w:spacing w:after="0" w:line="360" w:lineRule="auto"/>
        <w:jc w:val="center"/>
        <w:rPr>
          <w:rFonts w:ascii="Times New Roman" w:hAnsi="Times New Roman" w:cs="Times New Roman"/>
          <w:sz w:val="24"/>
          <w:szCs w:val="24"/>
        </w:rPr>
      </w:pPr>
      <w:r w:rsidRPr="00AB4F72">
        <w:rPr>
          <w:rFonts w:ascii="Times New Roman" w:hAnsi="Times New Roman" w:cs="Times New Roman"/>
          <w:b/>
          <w:bCs/>
          <w:sz w:val="24"/>
          <w:szCs w:val="24"/>
        </w:rPr>
        <w:t>Tabla 4</w:t>
      </w:r>
      <w:r w:rsidRPr="00AB4F72">
        <w:rPr>
          <w:rFonts w:ascii="Times New Roman" w:hAnsi="Times New Roman" w:cs="Times New Roman"/>
          <w:sz w:val="24"/>
          <w:szCs w:val="24"/>
        </w:rPr>
        <w:t>. Pronóstico del petróleo Brent</w:t>
      </w:r>
    </w:p>
    <w:tbl>
      <w:tblPr>
        <w:tblW w:w="4614" w:type="dxa"/>
        <w:jc w:val="center"/>
        <w:tblCellMar>
          <w:left w:w="70" w:type="dxa"/>
          <w:right w:w="70" w:type="dxa"/>
        </w:tblCellMar>
        <w:tblLook w:val="04A0" w:firstRow="1" w:lastRow="0" w:firstColumn="1" w:lastColumn="0" w:noHBand="0" w:noVBand="1"/>
      </w:tblPr>
      <w:tblGrid>
        <w:gridCol w:w="1234"/>
        <w:gridCol w:w="3380"/>
      </w:tblGrid>
      <w:tr w:rsidR="00DD574D" w:rsidRPr="00AB4F72" w14:paraId="6C6A859B" w14:textId="77777777" w:rsidTr="001E7535">
        <w:trPr>
          <w:trHeight w:val="300"/>
          <w:jc w:val="center"/>
        </w:trPr>
        <w:tc>
          <w:tcPr>
            <w:tcW w:w="1234" w:type="dxa"/>
            <w:tcBorders>
              <w:top w:val="single" w:sz="4" w:space="0" w:color="8EA9DB"/>
              <w:left w:val="single" w:sz="4" w:space="0" w:color="8EA9DB"/>
              <w:bottom w:val="single" w:sz="4" w:space="0" w:color="8EA9DB"/>
              <w:right w:val="nil"/>
            </w:tcBorders>
            <w:shd w:val="clear" w:color="4472C4" w:fill="4472C4"/>
            <w:noWrap/>
            <w:vAlign w:val="bottom"/>
            <w:hideMark/>
          </w:tcPr>
          <w:p w14:paraId="75E4C66A" w14:textId="77777777" w:rsidR="00DD574D" w:rsidRPr="00AB4F72" w:rsidRDefault="00DD574D" w:rsidP="00DD574D">
            <w:pPr>
              <w:spacing w:after="0" w:line="240" w:lineRule="auto"/>
              <w:rPr>
                <w:rFonts w:ascii="Times New Roman" w:eastAsia="Times New Roman" w:hAnsi="Times New Roman" w:cs="Times New Roman"/>
                <w:b/>
                <w:bCs/>
                <w:color w:val="FFFFFF"/>
                <w:sz w:val="24"/>
                <w:szCs w:val="24"/>
                <w:lang w:eastAsia="es-CO"/>
              </w:rPr>
            </w:pPr>
            <w:r w:rsidRPr="00AB4F72">
              <w:rPr>
                <w:rFonts w:ascii="Times New Roman" w:eastAsia="Times New Roman" w:hAnsi="Times New Roman" w:cs="Times New Roman"/>
                <w:b/>
                <w:bCs/>
                <w:color w:val="FFFFFF"/>
                <w:sz w:val="24"/>
                <w:szCs w:val="24"/>
                <w:lang w:eastAsia="es-CO"/>
              </w:rPr>
              <w:t>Mes</w:t>
            </w:r>
          </w:p>
        </w:tc>
        <w:tc>
          <w:tcPr>
            <w:tcW w:w="3380" w:type="dxa"/>
            <w:tcBorders>
              <w:top w:val="single" w:sz="4" w:space="0" w:color="8EA9DB"/>
              <w:left w:val="nil"/>
              <w:bottom w:val="single" w:sz="4" w:space="0" w:color="8EA9DB"/>
              <w:right w:val="single" w:sz="4" w:space="0" w:color="8EA9DB"/>
            </w:tcBorders>
            <w:shd w:val="clear" w:color="4472C4" w:fill="4472C4"/>
            <w:noWrap/>
            <w:vAlign w:val="bottom"/>
            <w:hideMark/>
          </w:tcPr>
          <w:p w14:paraId="649CBF7A" w14:textId="77777777" w:rsidR="00DD574D" w:rsidRPr="00AB4F72" w:rsidRDefault="00DD574D" w:rsidP="00DD574D">
            <w:pPr>
              <w:spacing w:after="0" w:line="240" w:lineRule="auto"/>
              <w:rPr>
                <w:rFonts w:ascii="Times New Roman" w:eastAsia="Times New Roman" w:hAnsi="Times New Roman" w:cs="Times New Roman"/>
                <w:b/>
                <w:bCs/>
                <w:color w:val="FFFFFF"/>
                <w:sz w:val="24"/>
                <w:szCs w:val="24"/>
                <w:lang w:eastAsia="es-CO"/>
              </w:rPr>
            </w:pPr>
            <w:r w:rsidRPr="00AB4F72">
              <w:rPr>
                <w:rFonts w:ascii="Times New Roman" w:eastAsia="Times New Roman" w:hAnsi="Times New Roman" w:cs="Times New Roman"/>
                <w:b/>
                <w:bCs/>
                <w:color w:val="FFFFFF"/>
                <w:sz w:val="24"/>
                <w:szCs w:val="24"/>
                <w:lang w:eastAsia="es-CO"/>
              </w:rPr>
              <w:t>Precio del petróleo Brent en USD</w:t>
            </w:r>
          </w:p>
        </w:tc>
      </w:tr>
      <w:tr w:rsidR="00DD574D" w:rsidRPr="00AB4F72" w14:paraId="6CDEBE9D" w14:textId="77777777" w:rsidTr="001E7535">
        <w:trPr>
          <w:trHeight w:val="300"/>
          <w:jc w:val="center"/>
        </w:trPr>
        <w:tc>
          <w:tcPr>
            <w:tcW w:w="1234" w:type="dxa"/>
            <w:tcBorders>
              <w:top w:val="single" w:sz="4" w:space="0" w:color="8EA9DB"/>
              <w:left w:val="single" w:sz="4" w:space="0" w:color="8EA9DB"/>
              <w:bottom w:val="single" w:sz="4" w:space="0" w:color="8EA9DB"/>
              <w:right w:val="nil"/>
            </w:tcBorders>
            <w:shd w:val="clear" w:color="D9E1F2" w:fill="D9E1F2"/>
            <w:noWrap/>
            <w:vAlign w:val="bottom"/>
            <w:hideMark/>
          </w:tcPr>
          <w:p w14:paraId="4D9486CA" w14:textId="77777777" w:rsidR="00DD574D" w:rsidRPr="00AB4F72" w:rsidRDefault="00DD574D" w:rsidP="00DD574D">
            <w:pPr>
              <w:spacing w:after="0" w:line="240" w:lineRule="auto"/>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Junio</w:t>
            </w:r>
          </w:p>
        </w:tc>
        <w:tc>
          <w:tcPr>
            <w:tcW w:w="3380" w:type="dxa"/>
            <w:tcBorders>
              <w:top w:val="single" w:sz="4" w:space="0" w:color="8EA9DB"/>
              <w:left w:val="nil"/>
              <w:bottom w:val="single" w:sz="4" w:space="0" w:color="8EA9DB"/>
              <w:right w:val="single" w:sz="4" w:space="0" w:color="8EA9DB"/>
            </w:tcBorders>
            <w:shd w:val="clear" w:color="D9E1F2" w:fill="D9E1F2"/>
            <w:noWrap/>
            <w:vAlign w:val="bottom"/>
            <w:hideMark/>
          </w:tcPr>
          <w:p w14:paraId="5603DA68" w14:textId="77777777" w:rsidR="00DD574D" w:rsidRPr="00AB4F72" w:rsidRDefault="00DD574D" w:rsidP="00DD574D">
            <w:pPr>
              <w:spacing w:after="0" w:line="240" w:lineRule="auto"/>
              <w:jc w:val="center"/>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112,13</w:t>
            </w:r>
          </w:p>
        </w:tc>
      </w:tr>
      <w:tr w:rsidR="00DD574D" w:rsidRPr="00AB4F72" w14:paraId="0B37BA0D" w14:textId="77777777" w:rsidTr="001E7535">
        <w:trPr>
          <w:trHeight w:val="300"/>
          <w:jc w:val="center"/>
        </w:trPr>
        <w:tc>
          <w:tcPr>
            <w:tcW w:w="1234" w:type="dxa"/>
            <w:tcBorders>
              <w:top w:val="single" w:sz="4" w:space="0" w:color="8EA9DB"/>
              <w:left w:val="single" w:sz="4" w:space="0" w:color="8EA9DB"/>
              <w:bottom w:val="single" w:sz="4" w:space="0" w:color="8EA9DB"/>
              <w:right w:val="nil"/>
            </w:tcBorders>
            <w:shd w:val="clear" w:color="auto" w:fill="auto"/>
            <w:noWrap/>
            <w:vAlign w:val="bottom"/>
            <w:hideMark/>
          </w:tcPr>
          <w:p w14:paraId="38439063" w14:textId="77777777" w:rsidR="00DD574D" w:rsidRPr="00AB4F72" w:rsidRDefault="00DD574D" w:rsidP="00DD574D">
            <w:pPr>
              <w:spacing w:after="0" w:line="240" w:lineRule="auto"/>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Julio</w:t>
            </w:r>
          </w:p>
        </w:tc>
        <w:tc>
          <w:tcPr>
            <w:tcW w:w="3380" w:type="dxa"/>
            <w:tcBorders>
              <w:top w:val="single" w:sz="4" w:space="0" w:color="8EA9DB"/>
              <w:left w:val="nil"/>
              <w:bottom w:val="single" w:sz="4" w:space="0" w:color="8EA9DB"/>
              <w:right w:val="single" w:sz="4" w:space="0" w:color="8EA9DB"/>
            </w:tcBorders>
            <w:shd w:val="clear" w:color="auto" w:fill="auto"/>
            <w:noWrap/>
            <w:vAlign w:val="bottom"/>
            <w:hideMark/>
          </w:tcPr>
          <w:p w14:paraId="1306E97A" w14:textId="77777777" w:rsidR="00DD574D" w:rsidRPr="00AB4F72" w:rsidRDefault="00DD574D" w:rsidP="00DD574D">
            <w:pPr>
              <w:spacing w:after="0" w:line="240" w:lineRule="auto"/>
              <w:jc w:val="center"/>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113,07</w:t>
            </w:r>
          </w:p>
        </w:tc>
      </w:tr>
      <w:tr w:rsidR="00DD574D" w:rsidRPr="00AB4F72" w14:paraId="737C5410" w14:textId="77777777" w:rsidTr="001E7535">
        <w:trPr>
          <w:trHeight w:val="300"/>
          <w:jc w:val="center"/>
        </w:trPr>
        <w:tc>
          <w:tcPr>
            <w:tcW w:w="1234" w:type="dxa"/>
            <w:tcBorders>
              <w:top w:val="single" w:sz="4" w:space="0" w:color="8EA9DB"/>
              <w:left w:val="single" w:sz="4" w:space="0" w:color="8EA9DB"/>
              <w:bottom w:val="single" w:sz="4" w:space="0" w:color="8EA9DB"/>
              <w:right w:val="nil"/>
            </w:tcBorders>
            <w:shd w:val="clear" w:color="D9E1F2" w:fill="D9E1F2"/>
            <w:noWrap/>
            <w:vAlign w:val="bottom"/>
            <w:hideMark/>
          </w:tcPr>
          <w:p w14:paraId="73E93832" w14:textId="77777777" w:rsidR="00DD574D" w:rsidRPr="00AB4F72" w:rsidRDefault="00DD574D" w:rsidP="00DD574D">
            <w:pPr>
              <w:spacing w:after="0" w:line="240" w:lineRule="auto"/>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Agosto</w:t>
            </w:r>
          </w:p>
        </w:tc>
        <w:tc>
          <w:tcPr>
            <w:tcW w:w="3380" w:type="dxa"/>
            <w:tcBorders>
              <w:top w:val="single" w:sz="4" w:space="0" w:color="8EA9DB"/>
              <w:left w:val="nil"/>
              <w:bottom w:val="single" w:sz="4" w:space="0" w:color="8EA9DB"/>
              <w:right w:val="single" w:sz="4" w:space="0" w:color="8EA9DB"/>
            </w:tcBorders>
            <w:shd w:val="clear" w:color="D9E1F2" w:fill="D9E1F2"/>
            <w:noWrap/>
            <w:vAlign w:val="bottom"/>
            <w:hideMark/>
          </w:tcPr>
          <w:p w14:paraId="551DCE33" w14:textId="77777777" w:rsidR="00DD574D" w:rsidRPr="00AB4F72" w:rsidRDefault="00DD574D" w:rsidP="00DD574D">
            <w:pPr>
              <w:spacing w:after="0" w:line="240" w:lineRule="auto"/>
              <w:jc w:val="center"/>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114,1</w:t>
            </w:r>
          </w:p>
        </w:tc>
      </w:tr>
      <w:tr w:rsidR="00DD574D" w:rsidRPr="00AB4F72" w14:paraId="1DD2D05E" w14:textId="77777777" w:rsidTr="001E7535">
        <w:trPr>
          <w:trHeight w:val="300"/>
          <w:jc w:val="center"/>
        </w:trPr>
        <w:tc>
          <w:tcPr>
            <w:tcW w:w="1234" w:type="dxa"/>
            <w:tcBorders>
              <w:top w:val="single" w:sz="4" w:space="0" w:color="8EA9DB"/>
              <w:left w:val="single" w:sz="4" w:space="0" w:color="8EA9DB"/>
              <w:bottom w:val="single" w:sz="4" w:space="0" w:color="8EA9DB"/>
              <w:right w:val="nil"/>
            </w:tcBorders>
            <w:shd w:val="clear" w:color="auto" w:fill="auto"/>
            <w:noWrap/>
            <w:vAlign w:val="bottom"/>
            <w:hideMark/>
          </w:tcPr>
          <w:p w14:paraId="03B1EC57" w14:textId="77777777" w:rsidR="00DD574D" w:rsidRPr="00AB4F72" w:rsidRDefault="00DD574D" w:rsidP="00DD574D">
            <w:pPr>
              <w:spacing w:after="0" w:line="240" w:lineRule="auto"/>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Septiembre</w:t>
            </w:r>
          </w:p>
        </w:tc>
        <w:tc>
          <w:tcPr>
            <w:tcW w:w="3380" w:type="dxa"/>
            <w:tcBorders>
              <w:top w:val="single" w:sz="4" w:space="0" w:color="8EA9DB"/>
              <w:left w:val="nil"/>
              <w:bottom w:val="single" w:sz="4" w:space="0" w:color="8EA9DB"/>
              <w:right w:val="single" w:sz="4" w:space="0" w:color="8EA9DB"/>
            </w:tcBorders>
            <w:shd w:val="clear" w:color="auto" w:fill="auto"/>
            <w:noWrap/>
            <w:vAlign w:val="bottom"/>
            <w:hideMark/>
          </w:tcPr>
          <w:p w14:paraId="5BC48944" w14:textId="77777777" w:rsidR="00DD574D" w:rsidRPr="00AB4F72" w:rsidRDefault="00DD574D" w:rsidP="00DD574D">
            <w:pPr>
              <w:spacing w:after="0" w:line="240" w:lineRule="auto"/>
              <w:jc w:val="center"/>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115,08</w:t>
            </w:r>
          </w:p>
        </w:tc>
      </w:tr>
      <w:tr w:rsidR="00DD574D" w:rsidRPr="00AB4F72" w14:paraId="5548538B" w14:textId="77777777" w:rsidTr="001E7535">
        <w:trPr>
          <w:trHeight w:val="300"/>
          <w:jc w:val="center"/>
        </w:trPr>
        <w:tc>
          <w:tcPr>
            <w:tcW w:w="1234" w:type="dxa"/>
            <w:tcBorders>
              <w:top w:val="single" w:sz="4" w:space="0" w:color="8EA9DB"/>
              <w:left w:val="single" w:sz="4" w:space="0" w:color="8EA9DB"/>
              <w:bottom w:val="single" w:sz="4" w:space="0" w:color="8EA9DB"/>
              <w:right w:val="nil"/>
            </w:tcBorders>
            <w:shd w:val="clear" w:color="D9E1F2" w:fill="D9E1F2"/>
            <w:noWrap/>
            <w:vAlign w:val="bottom"/>
            <w:hideMark/>
          </w:tcPr>
          <w:p w14:paraId="3B9077BF" w14:textId="77777777" w:rsidR="00DD574D" w:rsidRPr="00AB4F72" w:rsidRDefault="00DD574D" w:rsidP="00DD574D">
            <w:pPr>
              <w:spacing w:after="0" w:line="240" w:lineRule="auto"/>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Octubre</w:t>
            </w:r>
          </w:p>
        </w:tc>
        <w:tc>
          <w:tcPr>
            <w:tcW w:w="3380" w:type="dxa"/>
            <w:tcBorders>
              <w:top w:val="single" w:sz="4" w:space="0" w:color="8EA9DB"/>
              <w:left w:val="nil"/>
              <w:bottom w:val="single" w:sz="4" w:space="0" w:color="8EA9DB"/>
              <w:right w:val="single" w:sz="4" w:space="0" w:color="8EA9DB"/>
            </w:tcBorders>
            <w:shd w:val="clear" w:color="D9E1F2" w:fill="D9E1F2"/>
            <w:noWrap/>
            <w:vAlign w:val="bottom"/>
            <w:hideMark/>
          </w:tcPr>
          <w:p w14:paraId="304EACCF" w14:textId="77777777" w:rsidR="00DD574D" w:rsidRPr="00AB4F72" w:rsidRDefault="00DD574D" w:rsidP="00DD574D">
            <w:pPr>
              <w:spacing w:after="0" w:line="240" w:lineRule="auto"/>
              <w:jc w:val="center"/>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116,01</w:t>
            </w:r>
          </w:p>
        </w:tc>
      </w:tr>
      <w:tr w:rsidR="00DD574D" w:rsidRPr="00AB4F72" w14:paraId="3F257E85" w14:textId="77777777" w:rsidTr="001E7535">
        <w:trPr>
          <w:trHeight w:val="300"/>
          <w:jc w:val="center"/>
        </w:trPr>
        <w:tc>
          <w:tcPr>
            <w:tcW w:w="1234" w:type="dxa"/>
            <w:tcBorders>
              <w:top w:val="single" w:sz="4" w:space="0" w:color="8EA9DB"/>
              <w:left w:val="single" w:sz="4" w:space="0" w:color="8EA9DB"/>
              <w:bottom w:val="single" w:sz="4" w:space="0" w:color="8EA9DB"/>
              <w:right w:val="nil"/>
            </w:tcBorders>
            <w:shd w:val="clear" w:color="auto" w:fill="auto"/>
            <w:noWrap/>
            <w:vAlign w:val="bottom"/>
            <w:hideMark/>
          </w:tcPr>
          <w:p w14:paraId="52B9ED3D" w14:textId="77777777" w:rsidR="00DD574D" w:rsidRPr="00AB4F72" w:rsidRDefault="00DD574D" w:rsidP="00DD574D">
            <w:pPr>
              <w:spacing w:after="0" w:line="240" w:lineRule="auto"/>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Noviembre</w:t>
            </w:r>
          </w:p>
        </w:tc>
        <w:tc>
          <w:tcPr>
            <w:tcW w:w="3380" w:type="dxa"/>
            <w:tcBorders>
              <w:top w:val="single" w:sz="4" w:space="0" w:color="8EA9DB"/>
              <w:left w:val="nil"/>
              <w:bottom w:val="single" w:sz="4" w:space="0" w:color="8EA9DB"/>
              <w:right w:val="single" w:sz="4" w:space="0" w:color="8EA9DB"/>
            </w:tcBorders>
            <w:shd w:val="clear" w:color="auto" w:fill="auto"/>
            <w:noWrap/>
            <w:vAlign w:val="bottom"/>
            <w:hideMark/>
          </w:tcPr>
          <w:p w14:paraId="41CF0CA9" w14:textId="77777777" w:rsidR="00DD574D" w:rsidRPr="00AB4F72" w:rsidRDefault="00DD574D" w:rsidP="00DD574D">
            <w:pPr>
              <w:spacing w:after="0" w:line="240" w:lineRule="auto"/>
              <w:jc w:val="center"/>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117</w:t>
            </w:r>
          </w:p>
        </w:tc>
      </w:tr>
      <w:tr w:rsidR="00DD574D" w:rsidRPr="00AB4F72" w14:paraId="79F2FCC6" w14:textId="77777777" w:rsidTr="001E7535">
        <w:trPr>
          <w:trHeight w:val="300"/>
          <w:jc w:val="center"/>
        </w:trPr>
        <w:tc>
          <w:tcPr>
            <w:tcW w:w="1234" w:type="dxa"/>
            <w:tcBorders>
              <w:top w:val="single" w:sz="4" w:space="0" w:color="8EA9DB"/>
              <w:left w:val="single" w:sz="4" w:space="0" w:color="8EA9DB"/>
              <w:bottom w:val="single" w:sz="4" w:space="0" w:color="8EA9DB"/>
              <w:right w:val="nil"/>
            </w:tcBorders>
            <w:shd w:val="clear" w:color="D9E1F2" w:fill="D9E1F2"/>
            <w:noWrap/>
            <w:vAlign w:val="bottom"/>
            <w:hideMark/>
          </w:tcPr>
          <w:p w14:paraId="1C7386F7" w14:textId="77777777" w:rsidR="00DD574D" w:rsidRPr="00AB4F72" w:rsidRDefault="00DD574D" w:rsidP="00DD574D">
            <w:pPr>
              <w:spacing w:after="0" w:line="240" w:lineRule="auto"/>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Diciembre</w:t>
            </w:r>
          </w:p>
        </w:tc>
        <w:tc>
          <w:tcPr>
            <w:tcW w:w="3380" w:type="dxa"/>
            <w:tcBorders>
              <w:top w:val="single" w:sz="4" w:space="0" w:color="8EA9DB"/>
              <w:left w:val="nil"/>
              <w:bottom w:val="single" w:sz="4" w:space="0" w:color="8EA9DB"/>
              <w:right w:val="single" w:sz="4" w:space="0" w:color="8EA9DB"/>
            </w:tcBorders>
            <w:shd w:val="clear" w:color="D9E1F2" w:fill="D9E1F2"/>
            <w:noWrap/>
            <w:vAlign w:val="bottom"/>
            <w:hideMark/>
          </w:tcPr>
          <w:p w14:paraId="170D729F" w14:textId="77777777" w:rsidR="00DD574D" w:rsidRPr="00AB4F72" w:rsidRDefault="00DD574D" w:rsidP="00DD574D">
            <w:pPr>
              <w:spacing w:after="0" w:line="240" w:lineRule="auto"/>
              <w:jc w:val="center"/>
              <w:rPr>
                <w:rFonts w:ascii="Times New Roman" w:eastAsia="Times New Roman" w:hAnsi="Times New Roman" w:cs="Times New Roman"/>
                <w:color w:val="000000"/>
                <w:sz w:val="24"/>
                <w:szCs w:val="24"/>
                <w:lang w:eastAsia="es-CO"/>
              </w:rPr>
            </w:pPr>
            <w:r w:rsidRPr="00AB4F72">
              <w:rPr>
                <w:rFonts w:ascii="Times New Roman" w:eastAsia="Times New Roman" w:hAnsi="Times New Roman" w:cs="Times New Roman"/>
                <w:color w:val="000000"/>
                <w:sz w:val="24"/>
                <w:szCs w:val="24"/>
                <w:lang w:eastAsia="es-CO"/>
              </w:rPr>
              <w:t>118,07</w:t>
            </w:r>
          </w:p>
        </w:tc>
      </w:tr>
    </w:tbl>
    <w:p w14:paraId="59267501" w14:textId="5E39A7E2" w:rsidR="00DD574D" w:rsidRPr="00AB4F72" w:rsidRDefault="001E7535" w:rsidP="001E7535">
      <w:pPr>
        <w:spacing w:line="360" w:lineRule="auto"/>
        <w:jc w:val="center"/>
        <w:rPr>
          <w:rFonts w:ascii="Times New Roman" w:hAnsi="Times New Roman" w:cs="Times New Roman"/>
          <w:sz w:val="24"/>
          <w:szCs w:val="24"/>
        </w:rPr>
      </w:pPr>
      <w:r w:rsidRPr="00AB4F72">
        <w:rPr>
          <w:rFonts w:ascii="Times New Roman" w:hAnsi="Times New Roman" w:cs="Times New Roman"/>
          <w:b/>
          <w:bCs/>
          <w:sz w:val="24"/>
          <w:szCs w:val="24"/>
        </w:rPr>
        <w:t>Fuente</w:t>
      </w:r>
      <w:r w:rsidRPr="00AB4F72">
        <w:rPr>
          <w:rFonts w:ascii="Times New Roman" w:hAnsi="Times New Roman" w:cs="Times New Roman"/>
          <w:sz w:val="24"/>
          <w:szCs w:val="24"/>
        </w:rPr>
        <w:t>: Elaboración propia del autor.</w:t>
      </w:r>
    </w:p>
    <w:p w14:paraId="0679A3A4" w14:textId="7B1410CC" w:rsidR="00EE6B22" w:rsidRPr="00AB4F72" w:rsidRDefault="00C92A9E"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sz w:val="24"/>
          <w:szCs w:val="24"/>
        </w:rPr>
        <w:t xml:space="preserve">En la </w:t>
      </w:r>
      <w:r w:rsidRPr="00AB4F72">
        <w:rPr>
          <w:rFonts w:ascii="Times New Roman" w:hAnsi="Times New Roman" w:cs="Times New Roman"/>
          <w:b/>
          <w:bCs/>
          <w:sz w:val="24"/>
          <w:szCs w:val="24"/>
        </w:rPr>
        <w:t>figura 4</w:t>
      </w:r>
      <w:r w:rsidRPr="00AB4F72">
        <w:rPr>
          <w:rFonts w:ascii="Times New Roman" w:hAnsi="Times New Roman" w:cs="Times New Roman"/>
          <w:sz w:val="24"/>
          <w:szCs w:val="24"/>
        </w:rPr>
        <w:t xml:space="preserve"> se aprecia la tendencia del porcentaje de variación del petróleo Brent entre el 24 de febrero al 3 de junio </w:t>
      </w:r>
      <w:r w:rsidR="00603139" w:rsidRPr="00AB4F72">
        <w:rPr>
          <w:rFonts w:ascii="Times New Roman" w:hAnsi="Times New Roman" w:cs="Times New Roman"/>
          <w:sz w:val="24"/>
          <w:szCs w:val="24"/>
        </w:rPr>
        <w:t>2022 transcurridos</w:t>
      </w:r>
      <w:r w:rsidRPr="00AB4F72">
        <w:rPr>
          <w:rFonts w:ascii="Times New Roman" w:hAnsi="Times New Roman" w:cs="Times New Roman"/>
          <w:sz w:val="24"/>
          <w:szCs w:val="24"/>
        </w:rPr>
        <w:t xml:space="preserve"> los primeros 100 días del inicio del conflicto entre Rusia y Ucrania, en el eje horizontal se ubica el tiempo en días y en el eje vertical porcentaje de variación del petróleo Brent. </w:t>
      </w:r>
      <w:r w:rsidR="008B5584" w:rsidRPr="00AB4F72">
        <w:rPr>
          <w:rFonts w:ascii="Times New Roman" w:hAnsi="Times New Roman" w:cs="Times New Roman"/>
          <w:sz w:val="24"/>
          <w:szCs w:val="24"/>
        </w:rPr>
        <w:t xml:space="preserve">Se evidencia una volatilidad en el porcentaje de variación, destacándose </w:t>
      </w:r>
      <w:r w:rsidR="00083432" w:rsidRPr="00AB4F72">
        <w:rPr>
          <w:rFonts w:ascii="Times New Roman" w:hAnsi="Times New Roman" w:cs="Times New Roman"/>
          <w:sz w:val="24"/>
          <w:szCs w:val="24"/>
        </w:rPr>
        <w:t xml:space="preserve">que el 9 de marzo de 2022 se </w:t>
      </w:r>
      <w:r w:rsidR="00C51625" w:rsidRPr="00AB4F72">
        <w:rPr>
          <w:rFonts w:ascii="Times New Roman" w:hAnsi="Times New Roman" w:cs="Times New Roman"/>
          <w:sz w:val="24"/>
          <w:szCs w:val="24"/>
        </w:rPr>
        <w:t>presentó</w:t>
      </w:r>
      <w:r w:rsidR="00083432" w:rsidRPr="00AB4F72">
        <w:rPr>
          <w:rFonts w:ascii="Times New Roman" w:hAnsi="Times New Roman" w:cs="Times New Roman"/>
          <w:sz w:val="24"/>
          <w:szCs w:val="24"/>
        </w:rPr>
        <w:t xml:space="preserve"> la menor disminución en el porcentaje de variación con un -13,16, </w:t>
      </w:r>
      <w:r w:rsidR="00603139" w:rsidRPr="00AB4F72">
        <w:rPr>
          <w:rFonts w:ascii="Times New Roman" w:hAnsi="Times New Roman" w:cs="Times New Roman"/>
          <w:sz w:val="24"/>
          <w:szCs w:val="24"/>
        </w:rPr>
        <w:t xml:space="preserve">seguido del 28 de marzo de 2022 con una variación de -6,77. Ahora, el día 17 de marzo de 2022 se ubicó la mayor variación positiva con el 8,79%, seguido del día 2 de marzo de 2022 con un aumento del 7,58%. </w:t>
      </w:r>
    </w:p>
    <w:p w14:paraId="280504E2" w14:textId="77777777" w:rsidR="00DC3125" w:rsidRPr="00AB4F72" w:rsidRDefault="00FE5294" w:rsidP="00D735BF">
      <w:pPr>
        <w:spacing w:line="360" w:lineRule="auto"/>
        <w:jc w:val="both"/>
        <w:rPr>
          <w:rFonts w:ascii="Times New Roman" w:hAnsi="Times New Roman" w:cs="Times New Roman"/>
          <w:b/>
          <w:bCs/>
          <w:sz w:val="24"/>
          <w:szCs w:val="24"/>
        </w:rPr>
      </w:pPr>
      <w:r w:rsidRPr="00AB4F72">
        <w:rPr>
          <w:rFonts w:ascii="Times New Roman" w:hAnsi="Times New Roman" w:cs="Times New Roman"/>
          <w:noProof/>
          <w:sz w:val="24"/>
          <w:szCs w:val="24"/>
        </w:rPr>
        <w:drawing>
          <wp:inline distT="0" distB="0" distL="0" distR="0" wp14:anchorId="2A6A1454" wp14:editId="516E4978">
            <wp:extent cx="5612130" cy="3838575"/>
            <wp:effectExtent l="0" t="0" r="7620" b="9525"/>
            <wp:docPr id="3" name="Gráfico 3">
              <a:extLst xmlns:a="http://schemas.openxmlformats.org/drawingml/2006/main">
                <a:ext uri="{FF2B5EF4-FFF2-40B4-BE49-F238E27FC236}">
                  <a16:creationId xmlns:a16="http://schemas.microsoft.com/office/drawing/2014/main" id="{7355B72E-D7A1-EB73-A545-86AB98F1A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F98CCE" w14:textId="779B9E69" w:rsidR="00DC3125" w:rsidRPr="00AB4F72" w:rsidRDefault="00DC3125" w:rsidP="00DC3125">
      <w:pPr>
        <w:spacing w:after="0" w:line="240" w:lineRule="auto"/>
        <w:jc w:val="center"/>
        <w:rPr>
          <w:rFonts w:ascii="Times New Roman" w:hAnsi="Times New Roman" w:cs="Times New Roman"/>
          <w:sz w:val="24"/>
          <w:szCs w:val="24"/>
        </w:rPr>
      </w:pPr>
      <w:r w:rsidRPr="00AB4F72">
        <w:rPr>
          <w:rFonts w:ascii="Times New Roman" w:hAnsi="Times New Roman" w:cs="Times New Roman"/>
          <w:b/>
          <w:bCs/>
          <w:sz w:val="24"/>
          <w:szCs w:val="24"/>
        </w:rPr>
        <w:t>Figura 4</w:t>
      </w:r>
      <w:r w:rsidRPr="00AB4F72">
        <w:rPr>
          <w:rFonts w:ascii="Times New Roman" w:hAnsi="Times New Roman" w:cs="Times New Roman"/>
          <w:sz w:val="24"/>
          <w:szCs w:val="24"/>
        </w:rPr>
        <w:t>. Porcentaje de variación del petróleo Brent, durante los primeros cien días del conflicto entre Rusia y Ucrania.</w:t>
      </w:r>
    </w:p>
    <w:p w14:paraId="669B7787" w14:textId="77777777" w:rsidR="00DC3125" w:rsidRPr="00AB4F72" w:rsidRDefault="00DC3125" w:rsidP="00DC3125">
      <w:pPr>
        <w:spacing w:line="360" w:lineRule="auto"/>
        <w:jc w:val="center"/>
        <w:rPr>
          <w:rFonts w:ascii="Times New Roman" w:hAnsi="Times New Roman" w:cs="Times New Roman"/>
          <w:sz w:val="24"/>
          <w:szCs w:val="24"/>
        </w:rPr>
      </w:pPr>
      <w:r w:rsidRPr="00AB4F72">
        <w:rPr>
          <w:rFonts w:ascii="Times New Roman" w:hAnsi="Times New Roman" w:cs="Times New Roman"/>
          <w:b/>
          <w:bCs/>
          <w:sz w:val="24"/>
          <w:szCs w:val="24"/>
        </w:rPr>
        <w:t>Fuente</w:t>
      </w:r>
      <w:r w:rsidRPr="00AB4F72">
        <w:rPr>
          <w:rFonts w:ascii="Times New Roman" w:hAnsi="Times New Roman" w:cs="Times New Roman"/>
          <w:sz w:val="24"/>
          <w:szCs w:val="24"/>
        </w:rPr>
        <w:t>: Elaboración propia del autor.</w:t>
      </w:r>
    </w:p>
    <w:p w14:paraId="619E0CE8" w14:textId="03F0B2FD" w:rsidR="00D735BF" w:rsidRPr="00AB4F72" w:rsidRDefault="00D735BF" w:rsidP="00D735BF">
      <w:pPr>
        <w:spacing w:line="360" w:lineRule="auto"/>
        <w:jc w:val="both"/>
        <w:rPr>
          <w:rFonts w:ascii="Times New Roman" w:hAnsi="Times New Roman" w:cs="Times New Roman"/>
          <w:sz w:val="24"/>
          <w:szCs w:val="24"/>
        </w:rPr>
      </w:pPr>
      <w:r w:rsidRPr="00AB4F72">
        <w:rPr>
          <w:rFonts w:ascii="Times New Roman" w:hAnsi="Times New Roman" w:cs="Times New Roman"/>
          <w:b/>
          <w:bCs/>
          <w:sz w:val="24"/>
          <w:szCs w:val="24"/>
        </w:rPr>
        <w:t>Conclusiones</w:t>
      </w:r>
      <w:r w:rsidRPr="00AB4F72">
        <w:rPr>
          <w:rFonts w:ascii="Times New Roman" w:hAnsi="Times New Roman" w:cs="Times New Roman"/>
          <w:sz w:val="24"/>
          <w:szCs w:val="24"/>
        </w:rPr>
        <w:t xml:space="preserve"> </w:t>
      </w:r>
    </w:p>
    <w:p w14:paraId="03DD08A8" w14:textId="5603A70B" w:rsidR="00BA0E48" w:rsidRPr="00AB4F72" w:rsidRDefault="00BA0E48" w:rsidP="00BA0E48">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A partir del análisis estadístico de los datos aplicando la </w:t>
      </w:r>
      <w:r w:rsidR="00126018" w:rsidRPr="00AB4F72">
        <w:rPr>
          <w:rFonts w:ascii="Times New Roman" w:hAnsi="Times New Roman" w:cs="Times New Roman"/>
          <w:sz w:val="24"/>
          <w:szCs w:val="24"/>
        </w:rPr>
        <w:t>prueba T-Student</w:t>
      </w:r>
      <w:r w:rsidRPr="00AB4F72">
        <w:rPr>
          <w:rFonts w:ascii="Times New Roman" w:hAnsi="Times New Roman" w:cs="Times New Roman"/>
          <w:sz w:val="24"/>
          <w:szCs w:val="24"/>
        </w:rPr>
        <w:t>, el p-valor de la prueba es igual a 0,00 es menor a α =0.05, de esta manera se rechaz</w:t>
      </w:r>
      <w:r w:rsidR="00047AFB" w:rsidRPr="00AB4F72">
        <w:rPr>
          <w:rFonts w:ascii="Times New Roman" w:hAnsi="Times New Roman" w:cs="Times New Roman"/>
          <w:sz w:val="24"/>
          <w:szCs w:val="24"/>
        </w:rPr>
        <w:t>ó</w:t>
      </w:r>
      <w:r w:rsidRPr="00AB4F72">
        <w:rPr>
          <w:rFonts w:ascii="Times New Roman" w:hAnsi="Times New Roman" w:cs="Times New Roman"/>
          <w:sz w:val="24"/>
          <w:szCs w:val="24"/>
        </w:rPr>
        <w:t xml:space="preserve"> Ho, es decir, que para al menos uno de los promedios </w:t>
      </w:r>
      <w:r w:rsidR="00047AFB" w:rsidRPr="00AB4F72">
        <w:rPr>
          <w:rFonts w:ascii="Times New Roman" w:hAnsi="Times New Roman" w:cs="Times New Roman"/>
          <w:sz w:val="24"/>
          <w:szCs w:val="24"/>
        </w:rPr>
        <w:t>fue</w:t>
      </w:r>
      <w:r w:rsidRPr="00AB4F72">
        <w:rPr>
          <w:rFonts w:ascii="Times New Roman" w:hAnsi="Times New Roman" w:cs="Times New Roman"/>
          <w:sz w:val="24"/>
          <w:szCs w:val="24"/>
        </w:rPr>
        <w:t xml:space="preserve"> diferente de los demás del resultado obtenido en el precio de cierre de</w:t>
      </w:r>
      <w:r w:rsidR="00047AFB" w:rsidRPr="00AB4F72">
        <w:rPr>
          <w:rFonts w:ascii="Times New Roman" w:hAnsi="Times New Roman" w:cs="Times New Roman"/>
          <w:sz w:val="24"/>
          <w:szCs w:val="24"/>
        </w:rPr>
        <w:t xml:space="preserve">l petróleo Brent durante el conflicto entre Rusia y Ucrania entre el </w:t>
      </w:r>
      <w:r w:rsidRPr="00AB4F72">
        <w:rPr>
          <w:rFonts w:ascii="Times New Roman" w:hAnsi="Times New Roman" w:cs="Times New Roman"/>
          <w:sz w:val="24"/>
          <w:szCs w:val="24"/>
        </w:rPr>
        <w:t>período</w:t>
      </w:r>
      <w:r w:rsidR="00047AFB" w:rsidRPr="00AB4F72">
        <w:rPr>
          <w:rFonts w:ascii="Times New Roman" w:hAnsi="Times New Roman" w:cs="Times New Roman"/>
          <w:sz w:val="24"/>
          <w:szCs w:val="24"/>
        </w:rPr>
        <w:t xml:space="preserve"> comprendido</w:t>
      </w:r>
      <w:r w:rsidRPr="00AB4F72">
        <w:rPr>
          <w:rFonts w:ascii="Times New Roman" w:hAnsi="Times New Roman" w:cs="Times New Roman"/>
          <w:sz w:val="24"/>
          <w:szCs w:val="24"/>
        </w:rPr>
        <w:t xml:space="preserve"> </w:t>
      </w:r>
      <w:r w:rsidR="00047AFB" w:rsidRPr="00AB4F72">
        <w:rPr>
          <w:rFonts w:ascii="Times New Roman" w:hAnsi="Times New Roman" w:cs="Times New Roman"/>
          <w:sz w:val="24"/>
          <w:szCs w:val="24"/>
        </w:rPr>
        <w:t xml:space="preserve">entre el 2 de enero al 3 de </w:t>
      </w:r>
      <w:r w:rsidR="00E34CE4" w:rsidRPr="00AB4F72">
        <w:rPr>
          <w:rFonts w:ascii="Times New Roman" w:hAnsi="Times New Roman" w:cs="Times New Roman"/>
          <w:sz w:val="24"/>
          <w:szCs w:val="24"/>
        </w:rPr>
        <w:t>junio de 2022.</w:t>
      </w:r>
    </w:p>
    <w:p w14:paraId="490E5872" w14:textId="26CFB155" w:rsidR="00BA0E48" w:rsidRPr="00AB4F72" w:rsidRDefault="00BA0E48" w:rsidP="00BA0E48">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En lo relacionado con las rectas de regresión, en los </w:t>
      </w:r>
      <w:r w:rsidR="00524B4B" w:rsidRPr="00AB4F72">
        <w:rPr>
          <w:rFonts w:ascii="Times New Roman" w:hAnsi="Times New Roman" w:cs="Times New Roman"/>
          <w:sz w:val="24"/>
          <w:szCs w:val="24"/>
        </w:rPr>
        <w:t>dos</w:t>
      </w:r>
      <w:r w:rsidRPr="00AB4F72">
        <w:rPr>
          <w:rFonts w:ascii="Times New Roman" w:hAnsi="Times New Roman" w:cs="Times New Roman"/>
          <w:sz w:val="24"/>
          <w:szCs w:val="24"/>
        </w:rPr>
        <w:t xml:space="preserve"> casos se presentaron pendientes </w:t>
      </w:r>
      <w:r w:rsidR="00524B4B" w:rsidRPr="00AB4F72">
        <w:rPr>
          <w:rFonts w:ascii="Times New Roman" w:hAnsi="Times New Roman" w:cs="Times New Roman"/>
          <w:sz w:val="24"/>
          <w:szCs w:val="24"/>
        </w:rPr>
        <w:t>positivas</w:t>
      </w:r>
      <w:r w:rsidRPr="00AB4F72">
        <w:rPr>
          <w:rFonts w:ascii="Times New Roman" w:hAnsi="Times New Roman" w:cs="Times New Roman"/>
          <w:sz w:val="24"/>
          <w:szCs w:val="24"/>
        </w:rPr>
        <w:t xml:space="preserve">, debido </w:t>
      </w:r>
      <w:r w:rsidR="00524B4B" w:rsidRPr="00AB4F72">
        <w:rPr>
          <w:rFonts w:ascii="Times New Roman" w:hAnsi="Times New Roman" w:cs="Times New Roman"/>
          <w:sz w:val="24"/>
          <w:szCs w:val="24"/>
        </w:rPr>
        <w:t>al aumento</w:t>
      </w:r>
      <w:r w:rsidRPr="00AB4F72">
        <w:rPr>
          <w:rFonts w:ascii="Times New Roman" w:hAnsi="Times New Roman" w:cs="Times New Roman"/>
          <w:sz w:val="24"/>
          <w:szCs w:val="24"/>
        </w:rPr>
        <w:t xml:space="preserve"> de los precios del</w:t>
      </w:r>
      <w:r w:rsidR="00524B4B" w:rsidRPr="00AB4F72">
        <w:rPr>
          <w:rFonts w:ascii="Times New Roman" w:hAnsi="Times New Roman" w:cs="Times New Roman"/>
          <w:sz w:val="24"/>
          <w:szCs w:val="24"/>
        </w:rPr>
        <w:t xml:space="preserve"> </w:t>
      </w:r>
      <w:r w:rsidR="00363BAB" w:rsidRPr="00AB4F72">
        <w:rPr>
          <w:rFonts w:ascii="Times New Roman" w:hAnsi="Times New Roman" w:cs="Times New Roman"/>
          <w:sz w:val="24"/>
          <w:szCs w:val="24"/>
        </w:rPr>
        <w:t>petróleo Brent</w:t>
      </w:r>
      <w:r w:rsidRPr="00AB4F72">
        <w:rPr>
          <w:rFonts w:ascii="Times New Roman" w:hAnsi="Times New Roman" w:cs="Times New Roman"/>
          <w:sz w:val="24"/>
          <w:szCs w:val="24"/>
        </w:rPr>
        <w:t xml:space="preserve"> desde </w:t>
      </w:r>
      <w:r w:rsidR="001F1262" w:rsidRPr="00AB4F72">
        <w:rPr>
          <w:rFonts w:ascii="Times New Roman" w:hAnsi="Times New Roman" w:cs="Times New Roman"/>
          <w:sz w:val="24"/>
          <w:szCs w:val="24"/>
        </w:rPr>
        <w:t>el inicio</w:t>
      </w:r>
      <w:r w:rsidR="00524B4B" w:rsidRPr="00AB4F72">
        <w:rPr>
          <w:rFonts w:ascii="Times New Roman" w:hAnsi="Times New Roman" w:cs="Times New Roman"/>
          <w:sz w:val="24"/>
          <w:szCs w:val="24"/>
        </w:rPr>
        <w:t xml:space="preserve"> del conflicto entre Rusia y Ucrania el 24 de febrero de 2022 hasta el 3 de junio de 2022 </w:t>
      </w:r>
      <w:r w:rsidRPr="00AB4F72">
        <w:rPr>
          <w:rFonts w:ascii="Times New Roman" w:hAnsi="Times New Roman" w:cs="Times New Roman"/>
          <w:sz w:val="24"/>
          <w:szCs w:val="24"/>
        </w:rPr>
        <w:t xml:space="preserve">resultado favorable, cerrando </w:t>
      </w:r>
      <w:r w:rsidR="00363BAB" w:rsidRPr="00AB4F72">
        <w:rPr>
          <w:rFonts w:ascii="Times New Roman" w:hAnsi="Times New Roman" w:cs="Times New Roman"/>
          <w:sz w:val="24"/>
          <w:szCs w:val="24"/>
        </w:rPr>
        <w:t>el precio del barril del petróleo Br</w:t>
      </w:r>
      <w:r w:rsidRPr="00AB4F72">
        <w:rPr>
          <w:rFonts w:ascii="Times New Roman" w:hAnsi="Times New Roman" w:cs="Times New Roman"/>
          <w:sz w:val="24"/>
          <w:szCs w:val="24"/>
        </w:rPr>
        <w:t>en</w:t>
      </w:r>
      <w:r w:rsidR="00363BAB" w:rsidRPr="00AB4F72">
        <w:rPr>
          <w:rFonts w:ascii="Times New Roman" w:hAnsi="Times New Roman" w:cs="Times New Roman"/>
          <w:sz w:val="24"/>
          <w:szCs w:val="24"/>
        </w:rPr>
        <w:t>t</w:t>
      </w:r>
      <w:r w:rsidRPr="00AB4F72">
        <w:rPr>
          <w:rFonts w:ascii="Times New Roman" w:hAnsi="Times New Roman" w:cs="Times New Roman"/>
          <w:sz w:val="24"/>
          <w:szCs w:val="24"/>
        </w:rPr>
        <w:t xml:space="preserve"> </w:t>
      </w:r>
      <w:r w:rsidR="00363BAB" w:rsidRPr="00AB4F72">
        <w:rPr>
          <w:rFonts w:ascii="Times New Roman" w:hAnsi="Times New Roman" w:cs="Times New Roman"/>
          <w:sz w:val="24"/>
          <w:szCs w:val="24"/>
        </w:rPr>
        <w:t xml:space="preserve">a 119,72 USD. </w:t>
      </w:r>
    </w:p>
    <w:p w14:paraId="1ACA64B3" w14:textId="3FD9CB06" w:rsidR="00FB0313" w:rsidRPr="00AB4F72" w:rsidRDefault="00FB0313" w:rsidP="00FB0313">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El precio del petróleo </w:t>
      </w:r>
      <w:r w:rsidR="00C869F8" w:rsidRPr="00AB4F72">
        <w:rPr>
          <w:rFonts w:ascii="Times New Roman" w:hAnsi="Times New Roman" w:cs="Times New Roman"/>
          <w:sz w:val="24"/>
          <w:szCs w:val="24"/>
        </w:rPr>
        <w:t xml:space="preserve">Brent </w:t>
      </w:r>
      <w:r w:rsidRPr="00AB4F72">
        <w:rPr>
          <w:rFonts w:ascii="Times New Roman" w:hAnsi="Times New Roman" w:cs="Times New Roman"/>
          <w:sz w:val="24"/>
          <w:szCs w:val="24"/>
        </w:rPr>
        <w:t xml:space="preserve">sigue </w:t>
      </w:r>
      <w:r w:rsidR="00C869F8" w:rsidRPr="00AB4F72">
        <w:rPr>
          <w:rFonts w:ascii="Times New Roman" w:hAnsi="Times New Roman" w:cs="Times New Roman"/>
          <w:sz w:val="24"/>
          <w:szCs w:val="24"/>
        </w:rPr>
        <w:t>cautivo</w:t>
      </w:r>
      <w:r w:rsidRPr="00AB4F72">
        <w:rPr>
          <w:rFonts w:ascii="Times New Roman" w:hAnsi="Times New Roman" w:cs="Times New Roman"/>
          <w:sz w:val="24"/>
          <w:szCs w:val="24"/>
        </w:rPr>
        <w:t xml:space="preserve"> de fuertes </w:t>
      </w:r>
      <w:r w:rsidR="00C869F8" w:rsidRPr="00AB4F72">
        <w:rPr>
          <w:rFonts w:ascii="Times New Roman" w:hAnsi="Times New Roman" w:cs="Times New Roman"/>
          <w:sz w:val="24"/>
          <w:szCs w:val="24"/>
        </w:rPr>
        <w:t>oscilaciones</w:t>
      </w:r>
      <w:r w:rsidRPr="00AB4F72">
        <w:rPr>
          <w:rFonts w:ascii="Times New Roman" w:hAnsi="Times New Roman" w:cs="Times New Roman"/>
          <w:sz w:val="24"/>
          <w:szCs w:val="24"/>
        </w:rPr>
        <w:t xml:space="preserve"> como consecuencia de la guerra de Rusia en Ucrania. El </w:t>
      </w:r>
      <w:r w:rsidR="00C869F8" w:rsidRPr="00AB4F72">
        <w:rPr>
          <w:rFonts w:ascii="Times New Roman" w:hAnsi="Times New Roman" w:cs="Times New Roman"/>
          <w:sz w:val="24"/>
          <w:szCs w:val="24"/>
        </w:rPr>
        <w:t>primer día de la invasión a Ucrania</w:t>
      </w:r>
      <w:r w:rsidRPr="00AB4F72">
        <w:rPr>
          <w:rFonts w:ascii="Times New Roman" w:hAnsi="Times New Roman" w:cs="Times New Roman"/>
          <w:sz w:val="24"/>
          <w:szCs w:val="24"/>
        </w:rPr>
        <w:t xml:space="preserve"> </w:t>
      </w:r>
      <w:r w:rsidR="00C95074" w:rsidRPr="00AB4F72">
        <w:rPr>
          <w:rFonts w:ascii="Times New Roman" w:hAnsi="Times New Roman" w:cs="Times New Roman"/>
          <w:sz w:val="24"/>
          <w:szCs w:val="24"/>
        </w:rPr>
        <w:t>el aumento fue del 2</w:t>
      </w:r>
      <w:r w:rsidRPr="00AB4F72">
        <w:rPr>
          <w:rFonts w:ascii="Times New Roman" w:hAnsi="Times New Roman" w:cs="Times New Roman"/>
          <w:sz w:val="24"/>
          <w:szCs w:val="24"/>
        </w:rPr>
        <w:t>,</w:t>
      </w:r>
      <w:r w:rsidR="00C95074" w:rsidRPr="00AB4F72">
        <w:rPr>
          <w:rFonts w:ascii="Times New Roman" w:hAnsi="Times New Roman" w:cs="Times New Roman"/>
          <w:sz w:val="24"/>
          <w:szCs w:val="24"/>
        </w:rPr>
        <w:t>31</w:t>
      </w:r>
      <w:r w:rsidRPr="00AB4F72">
        <w:rPr>
          <w:rFonts w:ascii="Times New Roman" w:hAnsi="Times New Roman" w:cs="Times New Roman"/>
          <w:sz w:val="24"/>
          <w:szCs w:val="24"/>
        </w:rPr>
        <w:t xml:space="preserve">% </w:t>
      </w:r>
      <w:r w:rsidR="00C869F8" w:rsidRPr="00AB4F72">
        <w:rPr>
          <w:rFonts w:ascii="Times New Roman" w:hAnsi="Times New Roman" w:cs="Times New Roman"/>
          <w:sz w:val="24"/>
          <w:szCs w:val="24"/>
        </w:rPr>
        <w:t xml:space="preserve">con un precio de cierre del barril de </w:t>
      </w:r>
      <w:r w:rsidR="00757412" w:rsidRPr="00AB4F72">
        <w:rPr>
          <w:rFonts w:ascii="Times New Roman" w:hAnsi="Times New Roman" w:cs="Times New Roman"/>
          <w:sz w:val="24"/>
          <w:szCs w:val="24"/>
        </w:rPr>
        <w:t xml:space="preserve">99,08 </w:t>
      </w:r>
      <w:r w:rsidR="00C869F8" w:rsidRPr="00AB4F72">
        <w:rPr>
          <w:rFonts w:ascii="Times New Roman" w:hAnsi="Times New Roman" w:cs="Times New Roman"/>
          <w:sz w:val="24"/>
          <w:szCs w:val="24"/>
        </w:rPr>
        <w:t xml:space="preserve">USD </w:t>
      </w:r>
      <w:r w:rsidRPr="00AB4F72">
        <w:rPr>
          <w:rFonts w:ascii="Times New Roman" w:hAnsi="Times New Roman" w:cs="Times New Roman"/>
          <w:sz w:val="24"/>
          <w:szCs w:val="24"/>
        </w:rPr>
        <w:t xml:space="preserve">y </w:t>
      </w:r>
      <w:r w:rsidR="00C869F8" w:rsidRPr="00AB4F72">
        <w:rPr>
          <w:rFonts w:ascii="Times New Roman" w:hAnsi="Times New Roman" w:cs="Times New Roman"/>
          <w:sz w:val="24"/>
          <w:szCs w:val="24"/>
        </w:rPr>
        <w:t xml:space="preserve">cien días después del inicio </w:t>
      </w:r>
      <w:r w:rsidR="00426965" w:rsidRPr="00AB4F72">
        <w:rPr>
          <w:rFonts w:ascii="Times New Roman" w:hAnsi="Times New Roman" w:cs="Times New Roman"/>
          <w:sz w:val="24"/>
          <w:szCs w:val="24"/>
        </w:rPr>
        <w:t xml:space="preserve">del conflicto </w:t>
      </w:r>
      <w:r w:rsidR="00C869F8" w:rsidRPr="00AB4F72">
        <w:rPr>
          <w:rFonts w:ascii="Times New Roman" w:hAnsi="Times New Roman" w:cs="Times New Roman"/>
          <w:sz w:val="24"/>
          <w:szCs w:val="24"/>
        </w:rPr>
        <w:t xml:space="preserve">el 3 de junio de 2022 </w:t>
      </w:r>
      <w:r w:rsidRPr="00AB4F72">
        <w:rPr>
          <w:rFonts w:ascii="Times New Roman" w:hAnsi="Times New Roman" w:cs="Times New Roman"/>
          <w:sz w:val="24"/>
          <w:szCs w:val="24"/>
        </w:rPr>
        <w:t>el precio del barril Brent</w:t>
      </w:r>
      <w:r w:rsidR="00C95074" w:rsidRPr="00AB4F72">
        <w:rPr>
          <w:rFonts w:ascii="Times New Roman" w:hAnsi="Times New Roman" w:cs="Times New Roman"/>
          <w:sz w:val="24"/>
          <w:szCs w:val="24"/>
        </w:rPr>
        <w:t xml:space="preserve"> aumento un 20,8%</w:t>
      </w:r>
      <w:r w:rsidRPr="00AB4F72">
        <w:rPr>
          <w:rFonts w:ascii="Times New Roman" w:hAnsi="Times New Roman" w:cs="Times New Roman"/>
          <w:sz w:val="24"/>
          <w:szCs w:val="24"/>
        </w:rPr>
        <w:t>, y cotiz</w:t>
      </w:r>
      <w:r w:rsidR="00426965" w:rsidRPr="00AB4F72">
        <w:rPr>
          <w:rFonts w:ascii="Times New Roman" w:hAnsi="Times New Roman" w:cs="Times New Roman"/>
          <w:sz w:val="24"/>
          <w:szCs w:val="24"/>
        </w:rPr>
        <w:t>ó</w:t>
      </w:r>
      <w:r w:rsidRPr="00AB4F72">
        <w:rPr>
          <w:rFonts w:ascii="Times New Roman" w:hAnsi="Times New Roman" w:cs="Times New Roman"/>
          <w:sz w:val="24"/>
          <w:szCs w:val="24"/>
        </w:rPr>
        <w:t xml:space="preserve"> </w:t>
      </w:r>
      <w:r w:rsidR="00C95074" w:rsidRPr="00AB4F72">
        <w:rPr>
          <w:rFonts w:ascii="Times New Roman" w:hAnsi="Times New Roman" w:cs="Times New Roman"/>
          <w:sz w:val="24"/>
          <w:szCs w:val="24"/>
        </w:rPr>
        <w:t>a</w:t>
      </w:r>
      <w:r w:rsidRPr="00AB4F72">
        <w:rPr>
          <w:rFonts w:ascii="Times New Roman" w:hAnsi="Times New Roman" w:cs="Times New Roman"/>
          <w:sz w:val="24"/>
          <w:szCs w:val="24"/>
        </w:rPr>
        <w:t xml:space="preserve"> 1</w:t>
      </w:r>
      <w:r w:rsidR="00C95074" w:rsidRPr="00AB4F72">
        <w:rPr>
          <w:rFonts w:ascii="Times New Roman" w:hAnsi="Times New Roman" w:cs="Times New Roman"/>
          <w:sz w:val="24"/>
          <w:szCs w:val="24"/>
        </w:rPr>
        <w:t>19,72</w:t>
      </w:r>
      <w:r w:rsidRPr="00AB4F72">
        <w:rPr>
          <w:rFonts w:ascii="Times New Roman" w:hAnsi="Times New Roman" w:cs="Times New Roman"/>
          <w:sz w:val="24"/>
          <w:szCs w:val="24"/>
        </w:rPr>
        <w:t xml:space="preserve"> dólares por barril. </w:t>
      </w:r>
      <w:r w:rsidR="0039328E" w:rsidRPr="00AB4F72">
        <w:rPr>
          <w:rFonts w:ascii="Times New Roman" w:hAnsi="Times New Roman" w:cs="Times New Roman"/>
          <w:sz w:val="24"/>
          <w:szCs w:val="24"/>
        </w:rPr>
        <w:t>Todo esto motivado por los</w:t>
      </w:r>
      <w:r w:rsidRPr="00AB4F72">
        <w:rPr>
          <w:rFonts w:ascii="Times New Roman" w:hAnsi="Times New Roman" w:cs="Times New Roman"/>
          <w:sz w:val="24"/>
          <w:szCs w:val="24"/>
        </w:rPr>
        <w:t xml:space="preserve"> </w:t>
      </w:r>
      <w:r w:rsidR="0039328E" w:rsidRPr="00AB4F72">
        <w:rPr>
          <w:rFonts w:ascii="Times New Roman" w:hAnsi="Times New Roman" w:cs="Times New Roman"/>
          <w:sz w:val="24"/>
          <w:szCs w:val="24"/>
        </w:rPr>
        <w:t>abolidos</w:t>
      </w:r>
      <w:r w:rsidRPr="00AB4F72">
        <w:rPr>
          <w:rFonts w:ascii="Times New Roman" w:hAnsi="Times New Roman" w:cs="Times New Roman"/>
          <w:sz w:val="24"/>
          <w:szCs w:val="24"/>
        </w:rPr>
        <w:t xml:space="preserve"> avances para un </w:t>
      </w:r>
      <w:r w:rsidR="0039328E" w:rsidRPr="00AB4F72">
        <w:rPr>
          <w:rFonts w:ascii="Times New Roman" w:hAnsi="Times New Roman" w:cs="Times New Roman"/>
          <w:sz w:val="24"/>
          <w:szCs w:val="24"/>
        </w:rPr>
        <w:t>cese</w:t>
      </w:r>
      <w:r w:rsidRPr="00AB4F72">
        <w:rPr>
          <w:rFonts w:ascii="Times New Roman" w:hAnsi="Times New Roman" w:cs="Times New Roman"/>
          <w:sz w:val="24"/>
          <w:szCs w:val="24"/>
        </w:rPr>
        <w:t xml:space="preserve"> </w:t>
      </w:r>
      <w:r w:rsidR="0039328E" w:rsidRPr="00AB4F72">
        <w:rPr>
          <w:rFonts w:ascii="Times New Roman" w:hAnsi="Times New Roman" w:cs="Times New Roman"/>
          <w:sz w:val="24"/>
          <w:szCs w:val="24"/>
        </w:rPr>
        <w:t>a</w:t>
      </w:r>
      <w:r w:rsidRPr="00AB4F72">
        <w:rPr>
          <w:rFonts w:ascii="Times New Roman" w:hAnsi="Times New Roman" w:cs="Times New Roman"/>
          <w:sz w:val="24"/>
          <w:szCs w:val="24"/>
        </w:rPr>
        <w:t xml:space="preserve">l fuego y, sobre todo, la alerta lanzada por la Agencia Internacional de la Energía (AIE) de que </w:t>
      </w:r>
      <w:r w:rsidR="0064633B" w:rsidRPr="00AB4F72">
        <w:rPr>
          <w:rFonts w:ascii="Times New Roman" w:hAnsi="Times New Roman" w:cs="Times New Roman"/>
          <w:sz w:val="24"/>
          <w:szCs w:val="24"/>
        </w:rPr>
        <w:t>preexiste</w:t>
      </w:r>
      <w:r w:rsidRPr="00AB4F72">
        <w:rPr>
          <w:rFonts w:ascii="Times New Roman" w:hAnsi="Times New Roman" w:cs="Times New Roman"/>
          <w:sz w:val="24"/>
          <w:szCs w:val="24"/>
        </w:rPr>
        <w:t xml:space="preserve"> el riesgo de una crisis petrolera a partir de la primavera, "la mayor en décadas", a causa de la invasión rusa de Ucrania, lo que </w:t>
      </w:r>
      <w:r w:rsidR="0064633B" w:rsidRPr="00AB4F72">
        <w:rPr>
          <w:rFonts w:ascii="Times New Roman" w:hAnsi="Times New Roman" w:cs="Times New Roman"/>
          <w:sz w:val="24"/>
          <w:szCs w:val="24"/>
        </w:rPr>
        <w:t>acrecienta</w:t>
      </w:r>
      <w:r w:rsidRPr="00AB4F72">
        <w:rPr>
          <w:rFonts w:ascii="Times New Roman" w:hAnsi="Times New Roman" w:cs="Times New Roman"/>
          <w:sz w:val="24"/>
          <w:szCs w:val="24"/>
        </w:rPr>
        <w:t xml:space="preserve"> más presión a la OPEP, que hasta ahora no ha </w:t>
      </w:r>
      <w:r w:rsidR="0064633B" w:rsidRPr="00AB4F72">
        <w:rPr>
          <w:rFonts w:ascii="Times New Roman" w:hAnsi="Times New Roman" w:cs="Times New Roman"/>
          <w:sz w:val="24"/>
          <w:szCs w:val="24"/>
        </w:rPr>
        <w:t>manifestado</w:t>
      </w:r>
      <w:r w:rsidRPr="00AB4F72">
        <w:rPr>
          <w:rFonts w:ascii="Times New Roman" w:hAnsi="Times New Roman" w:cs="Times New Roman"/>
          <w:sz w:val="24"/>
          <w:szCs w:val="24"/>
        </w:rPr>
        <w:t xml:space="preserve"> disposición para </w:t>
      </w:r>
      <w:r w:rsidR="0064633B" w:rsidRPr="00AB4F72">
        <w:rPr>
          <w:rFonts w:ascii="Times New Roman" w:hAnsi="Times New Roman" w:cs="Times New Roman"/>
          <w:sz w:val="24"/>
          <w:szCs w:val="24"/>
        </w:rPr>
        <w:t>subsanar</w:t>
      </w:r>
      <w:r w:rsidRPr="00AB4F72">
        <w:rPr>
          <w:rFonts w:ascii="Times New Roman" w:hAnsi="Times New Roman" w:cs="Times New Roman"/>
          <w:sz w:val="24"/>
          <w:szCs w:val="24"/>
        </w:rPr>
        <w:t xml:space="preserve"> en el mercado las pérdidas de crudo ruso.</w:t>
      </w:r>
      <w:r w:rsidR="0064633B" w:rsidRPr="00AB4F72">
        <w:rPr>
          <w:rFonts w:ascii="Times New Roman" w:hAnsi="Times New Roman" w:cs="Times New Roman"/>
          <w:sz w:val="24"/>
          <w:szCs w:val="24"/>
        </w:rPr>
        <w:t xml:space="preserve"> (EFE, 2022)</w:t>
      </w:r>
    </w:p>
    <w:p w14:paraId="5D7E19A3" w14:textId="0F05691F" w:rsidR="005119B1" w:rsidRPr="00AB4F72" w:rsidRDefault="005119B1" w:rsidP="00BA0E48">
      <w:pPr>
        <w:spacing w:line="360" w:lineRule="auto"/>
        <w:jc w:val="both"/>
        <w:rPr>
          <w:rFonts w:ascii="Times New Roman" w:hAnsi="Times New Roman" w:cs="Times New Roman"/>
          <w:sz w:val="24"/>
          <w:szCs w:val="24"/>
        </w:rPr>
      </w:pPr>
    </w:p>
    <w:p w14:paraId="727E9BF8" w14:textId="6F6DFCF6" w:rsidR="00182D29" w:rsidRPr="00AB4F72" w:rsidRDefault="00182D29" w:rsidP="00135B46">
      <w:pPr>
        <w:spacing w:line="360" w:lineRule="auto"/>
        <w:rPr>
          <w:rFonts w:ascii="Times New Roman" w:hAnsi="Times New Roman" w:cs="Times New Roman"/>
          <w:b/>
          <w:bCs/>
          <w:sz w:val="24"/>
          <w:szCs w:val="24"/>
        </w:rPr>
      </w:pPr>
      <w:r w:rsidRPr="00AB4F72">
        <w:rPr>
          <w:rFonts w:ascii="Times New Roman" w:hAnsi="Times New Roman" w:cs="Times New Roman"/>
          <w:b/>
          <w:bCs/>
          <w:sz w:val="24"/>
          <w:szCs w:val="24"/>
        </w:rPr>
        <w:t>Referencias</w:t>
      </w:r>
    </w:p>
    <w:p w14:paraId="3281A741" w14:textId="29C94411" w:rsidR="00182D29" w:rsidRPr="00AB4F72" w:rsidRDefault="00AB6E36" w:rsidP="00135B46">
      <w:pPr>
        <w:spacing w:line="360" w:lineRule="auto"/>
        <w:jc w:val="both"/>
        <w:rPr>
          <w:rStyle w:val="Hipervnculo"/>
          <w:rFonts w:ascii="Times New Roman" w:hAnsi="Times New Roman" w:cs="Times New Roman"/>
          <w:sz w:val="24"/>
          <w:szCs w:val="24"/>
        </w:rPr>
      </w:pPr>
      <w:r w:rsidRPr="00AB4F72">
        <w:rPr>
          <w:rFonts w:ascii="Times New Roman" w:hAnsi="Times New Roman" w:cs="Times New Roman"/>
          <w:sz w:val="24"/>
          <w:szCs w:val="24"/>
        </w:rPr>
        <w:t xml:space="preserve">BBC News Mundo. </w:t>
      </w:r>
      <w:r w:rsidR="00C62357" w:rsidRPr="00AB4F72">
        <w:rPr>
          <w:rFonts w:ascii="Times New Roman" w:hAnsi="Times New Roman" w:cs="Times New Roman"/>
          <w:sz w:val="24"/>
          <w:szCs w:val="24"/>
        </w:rPr>
        <w:t xml:space="preserve">(2022). </w:t>
      </w:r>
      <w:r w:rsidRPr="00AB4F72">
        <w:rPr>
          <w:rFonts w:ascii="Times New Roman" w:hAnsi="Times New Roman" w:cs="Times New Roman"/>
          <w:sz w:val="24"/>
          <w:szCs w:val="24"/>
        </w:rPr>
        <w:t xml:space="preserve">Ucrania y Rusia | Precio del barril de petróleo se dispara y supera los 100 dólares: ¿qué efectos puede tener para América </w:t>
      </w:r>
      <w:r w:rsidR="00C62357" w:rsidRPr="00AB4F72">
        <w:rPr>
          <w:rFonts w:ascii="Times New Roman" w:hAnsi="Times New Roman" w:cs="Times New Roman"/>
          <w:sz w:val="24"/>
          <w:szCs w:val="24"/>
        </w:rPr>
        <w:t xml:space="preserve">Latina? </w:t>
      </w:r>
      <w:r w:rsidRPr="00AB4F72">
        <w:rPr>
          <w:rFonts w:ascii="Times New Roman" w:hAnsi="Times New Roman" w:cs="Times New Roman"/>
          <w:sz w:val="24"/>
          <w:szCs w:val="24"/>
        </w:rPr>
        <w:t xml:space="preserve">Disponible </w:t>
      </w:r>
      <w:r w:rsidR="00082D67" w:rsidRPr="00AB4F72">
        <w:rPr>
          <w:rFonts w:ascii="Times New Roman" w:hAnsi="Times New Roman" w:cs="Times New Roman"/>
          <w:sz w:val="24"/>
          <w:szCs w:val="24"/>
        </w:rPr>
        <w:t>en:</w:t>
      </w:r>
      <w:r w:rsidRPr="00AB4F72">
        <w:rPr>
          <w:rFonts w:ascii="Times New Roman" w:hAnsi="Times New Roman" w:cs="Times New Roman"/>
          <w:sz w:val="24"/>
          <w:szCs w:val="24"/>
        </w:rPr>
        <w:t xml:space="preserve"> </w:t>
      </w:r>
      <w:hyperlink r:id="rId8" w:history="1">
        <w:r w:rsidRPr="00AB4F72">
          <w:rPr>
            <w:rStyle w:val="Hipervnculo"/>
            <w:rFonts w:ascii="Times New Roman" w:hAnsi="Times New Roman" w:cs="Times New Roman"/>
            <w:sz w:val="24"/>
            <w:szCs w:val="24"/>
          </w:rPr>
          <w:t>https://www.bbc.com/mundo/noticias-america-latina-60478253</w:t>
        </w:r>
      </w:hyperlink>
    </w:p>
    <w:p w14:paraId="63875E44" w14:textId="16CBAE85" w:rsidR="00134EC4" w:rsidRPr="00AB4F72" w:rsidRDefault="00134EC4" w:rsidP="00135B46">
      <w:pPr>
        <w:spacing w:line="360" w:lineRule="auto"/>
        <w:jc w:val="both"/>
        <w:rPr>
          <w:rFonts w:ascii="Times New Roman" w:hAnsi="Times New Roman" w:cs="Times New Roman"/>
          <w:color w:val="222222"/>
          <w:sz w:val="24"/>
          <w:szCs w:val="24"/>
          <w:shd w:val="clear" w:color="auto" w:fill="FFFFFF"/>
        </w:rPr>
      </w:pPr>
      <w:r w:rsidRPr="00AB4F72">
        <w:rPr>
          <w:rFonts w:ascii="Times New Roman" w:hAnsi="Times New Roman" w:cs="Times New Roman"/>
          <w:color w:val="222222"/>
          <w:sz w:val="24"/>
          <w:szCs w:val="24"/>
          <w:shd w:val="clear" w:color="auto" w:fill="FFFFFF"/>
        </w:rPr>
        <w:t>Díaz Pinzón, J. E. (2020). Estimación de la prevalencia del COVID-19 en Colombia. </w:t>
      </w:r>
      <w:r w:rsidRPr="00AB4F72">
        <w:rPr>
          <w:rFonts w:ascii="Times New Roman" w:hAnsi="Times New Roman" w:cs="Times New Roman"/>
          <w:i/>
          <w:iCs/>
          <w:color w:val="222222"/>
          <w:sz w:val="24"/>
          <w:szCs w:val="24"/>
          <w:shd w:val="clear" w:color="auto" w:fill="FFFFFF"/>
        </w:rPr>
        <w:t>Revista Repertorio De Medicina Y Cirugía</w:t>
      </w:r>
      <w:r w:rsidRPr="00AB4F72">
        <w:rPr>
          <w:rFonts w:ascii="Times New Roman" w:hAnsi="Times New Roman" w:cs="Times New Roman"/>
          <w:color w:val="222222"/>
          <w:sz w:val="24"/>
          <w:szCs w:val="24"/>
          <w:shd w:val="clear" w:color="auto" w:fill="FFFFFF"/>
        </w:rPr>
        <w:t xml:space="preserve">, 99–102. </w:t>
      </w:r>
      <w:hyperlink r:id="rId9" w:history="1">
        <w:r w:rsidR="00C62357" w:rsidRPr="00AB4F72">
          <w:rPr>
            <w:rStyle w:val="Hipervnculo"/>
            <w:rFonts w:ascii="Times New Roman" w:hAnsi="Times New Roman" w:cs="Times New Roman"/>
            <w:sz w:val="24"/>
            <w:szCs w:val="24"/>
            <w:shd w:val="clear" w:color="auto" w:fill="FFFFFF"/>
          </w:rPr>
          <w:t>https://doi.org/10.31260/RepertMedCir.01217372.1115</w:t>
        </w:r>
      </w:hyperlink>
    </w:p>
    <w:p w14:paraId="59E46A0E" w14:textId="3C35D824" w:rsidR="00C62357" w:rsidRPr="00AB4F72" w:rsidRDefault="00C62357" w:rsidP="00C62357">
      <w:pPr>
        <w:spacing w:line="360" w:lineRule="auto"/>
        <w:jc w:val="both"/>
        <w:rPr>
          <w:rStyle w:val="Hipervnculo"/>
          <w:rFonts w:ascii="Times New Roman" w:hAnsi="Times New Roman" w:cs="Times New Roman"/>
          <w:sz w:val="24"/>
          <w:szCs w:val="24"/>
        </w:rPr>
      </w:pPr>
      <w:r w:rsidRPr="00AB4F72">
        <w:rPr>
          <w:rFonts w:ascii="Times New Roman" w:hAnsi="Times New Roman" w:cs="Times New Roman"/>
          <w:sz w:val="24"/>
          <w:szCs w:val="24"/>
        </w:rPr>
        <w:t>EFE. (2022). Tensión en el petróleo: Putin y la AIE disparan el Brent hasta los 108 dólares. Disponible en: https://bit.ly/3PD3TsE</w:t>
      </w:r>
    </w:p>
    <w:p w14:paraId="194F93AF" w14:textId="312058B9" w:rsidR="008607B4" w:rsidRPr="00AB4F72" w:rsidRDefault="0082399B" w:rsidP="00135B46">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EL MUNDO. (2022). Bolsas asiáticas caen, oro y petróleo suben por crisis en Ucrania</w:t>
      </w:r>
      <w:r w:rsidR="008607B4" w:rsidRPr="00AB4F72">
        <w:rPr>
          <w:rFonts w:ascii="Times New Roman" w:hAnsi="Times New Roman" w:cs="Times New Roman"/>
          <w:sz w:val="24"/>
          <w:szCs w:val="24"/>
        </w:rPr>
        <w:t xml:space="preserve">. [Internet]. Disponible </w:t>
      </w:r>
      <w:r w:rsidR="00E152BA" w:rsidRPr="00AB4F72">
        <w:rPr>
          <w:rFonts w:ascii="Times New Roman" w:hAnsi="Times New Roman" w:cs="Times New Roman"/>
          <w:sz w:val="24"/>
          <w:szCs w:val="24"/>
        </w:rPr>
        <w:t>en:</w:t>
      </w:r>
      <w:r w:rsidR="008607B4" w:rsidRPr="00AB4F72">
        <w:rPr>
          <w:rFonts w:ascii="Times New Roman" w:hAnsi="Times New Roman" w:cs="Times New Roman"/>
          <w:sz w:val="24"/>
          <w:szCs w:val="24"/>
        </w:rPr>
        <w:t xml:space="preserve"> </w:t>
      </w:r>
      <w:hyperlink r:id="rId10" w:history="1">
        <w:r w:rsidR="008607B4" w:rsidRPr="00AB4F72">
          <w:rPr>
            <w:rStyle w:val="Hipervnculo"/>
            <w:rFonts w:ascii="Times New Roman" w:hAnsi="Times New Roman" w:cs="Times New Roman"/>
            <w:sz w:val="24"/>
            <w:szCs w:val="24"/>
          </w:rPr>
          <w:t>https://bit.ly/3tEIUvz</w:t>
        </w:r>
      </w:hyperlink>
    </w:p>
    <w:p w14:paraId="06F38E7C" w14:textId="7BBA9332" w:rsidR="00947E48" w:rsidRPr="00AB4F72" w:rsidRDefault="00947E48" w:rsidP="00135B46">
      <w:pPr>
        <w:spacing w:line="360" w:lineRule="auto"/>
        <w:jc w:val="both"/>
        <w:rPr>
          <w:rStyle w:val="Hipervnculo"/>
          <w:rFonts w:ascii="Times New Roman" w:hAnsi="Times New Roman" w:cs="Times New Roman"/>
          <w:sz w:val="24"/>
          <w:szCs w:val="24"/>
        </w:rPr>
      </w:pPr>
      <w:r w:rsidRPr="00AB4F72">
        <w:rPr>
          <w:rFonts w:ascii="Times New Roman" w:hAnsi="Times New Roman" w:cs="Times New Roman"/>
          <w:sz w:val="24"/>
          <w:szCs w:val="24"/>
        </w:rPr>
        <w:t xml:space="preserve">Fariza, I. (2022). El gas se dispara un 30% y el petróleo supera los 100 dólares tras la invasión rusa. Disponible </w:t>
      </w:r>
      <w:r w:rsidR="00E152BA" w:rsidRPr="00AB4F72">
        <w:rPr>
          <w:rFonts w:ascii="Times New Roman" w:hAnsi="Times New Roman" w:cs="Times New Roman"/>
          <w:sz w:val="24"/>
          <w:szCs w:val="24"/>
        </w:rPr>
        <w:t>en:</w:t>
      </w:r>
      <w:r w:rsidRPr="00AB4F72">
        <w:rPr>
          <w:rFonts w:ascii="Times New Roman" w:hAnsi="Times New Roman" w:cs="Times New Roman"/>
          <w:sz w:val="24"/>
          <w:szCs w:val="24"/>
        </w:rPr>
        <w:t xml:space="preserve"> </w:t>
      </w:r>
      <w:hyperlink r:id="rId11" w:history="1">
        <w:r w:rsidR="00527DFF" w:rsidRPr="00AB4F72">
          <w:rPr>
            <w:rStyle w:val="Hipervnculo"/>
            <w:rFonts w:ascii="Times New Roman" w:hAnsi="Times New Roman" w:cs="Times New Roman"/>
            <w:sz w:val="24"/>
            <w:szCs w:val="24"/>
          </w:rPr>
          <w:t>https://elpais.com/economia/2022-02-24/el-gas-se-dispara-y-el-petroleo-supera-los-100-dolares-tras-el-inicio-de-la-guerra-en-ucrania.html</w:t>
        </w:r>
      </w:hyperlink>
    </w:p>
    <w:p w14:paraId="3FADF088" w14:textId="158756D5" w:rsidR="00082D67" w:rsidRPr="00AB4F72" w:rsidRDefault="00082D67" w:rsidP="00082D67">
      <w:pPr>
        <w:jc w:val="both"/>
        <w:rPr>
          <w:rFonts w:ascii="Times New Roman" w:hAnsi="Times New Roman" w:cs="Times New Roman"/>
          <w:sz w:val="24"/>
          <w:szCs w:val="24"/>
          <w:lang w:val="pt-BR"/>
        </w:rPr>
      </w:pPr>
      <w:r w:rsidRPr="00AB4F72">
        <w:rPr>
          <w:rFonts w:ascii="Times New Roman" w:hAnsi="Times New Roman" w:cs="Times New Roman"/>
          <w:sz w:val="24"/>
          <w:szCs w:val="24"/>
          <w:lang w:val="en-US"/>
        </w:rPr>
        <w:t xml:space="preserve">IBM Corp. Released 2017. IBM SPSS Statistics for Windows, Version 25.0. </w:t>
      </w:r>
      <w:r w:rsidRPr="00AB4F72">
        <w:rPr>
          <w:rFonts w:ascii="Times New Roman" w:hAnsi="Times New Roman" w:cs="Times New Roman"/>
          <w:sz w:val="24"/>
          <w:szCs w:val="24"/>
          <w:lang w:val="pt-BR"/>
        </w:rPr>
        <w:t>Armonk, NY: IBM Corp.</w:t>
      </w:r>
    </w:p>
    <w:p w14:paraId="16B1428F" w14:textId="77777777" w:rsidR="00DB3FC8" w:rsidRPr="00AB4F72" w:rsidRDefault="00DB3FC8" w:rsidP="00DB3FC8">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lang w:val="pt-BR"/>
        </w:rPr>
        <w:t xml:space="preserve">Investing. (2022a). Datos históricos petróleo Brent. </w:t>
      </w:r>
      <w:r w:rsidRPr="00AB4F72">
        <w:rPr>
          <w:rFonts w:ascii="Times New Roman" w:hAnsi="Times New Roman" w:cs="Times New Roman"/>
          <w:sz w:val="24"/>
          <w:szCs w:val="24"/>
        </w:rPr>
        <w:t>Disponible en: https://es.investing.com/commodities/brent-oil-historical-data</w:t>
      </w:r>
    </w:p>
    <w:p w14:paraId="29532D1C" w14:textId="77777777" w:rsidR="00DB3FC8" w:rsidRPr="00AB4F72" w:rsidRDefault="00DB3FC8" w:rsidP="00DB3FC8">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Investing. (2022a). El petróleo Brent sube un 1,51 %, hasta 119,77 dólares. Disponible en: </w:t>
      </w:r>
      <w:hyperlink r:id="rId12" w:history="1">
        <w:r w:rsidRPr="00AB4F72">
          <w:rPr>
            <w:rStyle w:val="Hipervnculo"/>
            <w:rFonts w:ascii="Times New Roman" w:hAnsi="Times New Roman" w:cs="Times New Roman"/>
            <w:sz w:val="24"/>
            <w:szCs w:val="24"/>
          </w:rPr>
          <w:t>https://es.investing.com/news/commodities-news/el-petroleo-brent-sube-un-151--hasta-11977-dolares-2231146</w:t>
        </w:r>
      </w:hyperlink>
    </w:p>
    <w:p w14:paraId="51617A23" w14:textId="4A4E1663" w:rsidR="00527DFF" w:rsidRPr="00AB4F72" w:rsidRDefault="00527DFF" w:rsidP="00135B46">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LA VANGUARDIA, 2022. El precio del Brent se dispara por los planes de EE. UU. de vetar el petróleo ruso. [Internet].  Disponible </w:t>
      </w:r>
      <w:r w:rsidR="00E152BA" w:rsidRPr="00AB4F72">
        <w:rPr>
          <w:rFonts w:ascii="Times New Roman" w:hAnsi="Times New Roman" w:cs="Times New Roman"/>
          <w:sz w:val="24"/>
          <w:szCs w:val="24"/>
        </w:rPr>
        <w:t>en:</w:t>
      </w:r>
      <w:r w:rsidRPr="00AB4F72">
        <w:rPr>
          <w:rFonts w:ascii="Times New Roman" w:hAnsi="Times New Roman" w:cs="Times New Roman"/>
          <w:sz w:val="24"/>
          <w:szCs w:val="24"/>
        </w:rPr>
        <w:t xml:space="preserve"> </w:t>
      </w:r>
      <w:hyperlink r:id="rId13" w:history="1">
        <w:r w:rsidR="004E48D2" w:rsidRPr="00AB4F72">
          <w:rPr>
            <w:rStyle w:val="Hipervnculo"/>
            <w:rFonts w:ascii="Times New Roman" w:hAnsi="Times New Roman" w:cs="Times New Roman"/>
            <w:sz w:val="24"/>
            <w:szCs w:val="24"/>
          </w:rPr>
          <w:t>https://bit.ly/3t7YOQ8</w:t>
        </w:r>
      </w:hyperlink>
    </w:p>
    <w:p w14:paraId="427A645C" w14:textId="22FF8D15" w:rsidR="000D0805" w:rsidRPr="00AB4F72" w:rsidRDefault="000D0805" w:rsidP="00135B46">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López, J. (2017). </w:t>
      </w:r>
      <w:r w:rsidRPr="00AB4F72">
        <w:rPr>
          <w:rStyle w:val="nfasis"/>
          <w:rFonts w:ascii="Times New Roman" w:hAnsi="Times New Roman" w:cs="Times New Roman"/>
          <w:sz w:val="24"/>
          <w:szCs w:val="24"/>
          <w:shd w:val="clear" w:color="auto" w:fill="FFFFFF"/>
        </w:rPr>
        <w:t>Coeficiente de determinación (R cuadrado)</w:t>
      </w:r>
      <w:r w:rsidRPr="00AB4F72">
        <w:rPr>
          <w:rFonts w:ascii="Times New Roman" w:hAnsi="Times New Roman" w:cs="Times New Roman"/>
          <w:sz w:val="24"/>
          <w:szCs w:val="24"/>
          <w:shd w:val="clear" w:color="auto" w:fill="FFFFFF"/>
        </w:rPr>
        <w:t>. Disponible en: https://bit.ly/3lTrbNq</w:t>
      </w:r>
    </w:p>
    <w:p w14:paraId="6F9A824D" w14:textId="10FFDAD2" w:rsidR="00CE7172" w:rsidRPr="00AB4F72" w:rsidRDefault="00CE7172" w:rsidP="00135B46">
      <w:pPr>
        <w:spacing w:line="360" w:lineRule="auto"/>
        <w:jc w:val="both"/>
        <w:rPr>
          <w:rStyle w:val="Hipervnculo"/>
          <w:rFonts w:ascii="Times New Roman" w:hAnsi="Times New Roman" w:cs="Times New Roman"/>
          <w:sz w:val="24"/>
          <w:szCs w:val="24"/>
        </w:rPr>
      </w:pPr>
      <w:r w:rsidRPr="00AB4F72">
        <w:rPr>
          <w:rFonts w:ascii="Times New Roman" w:hAnsi="Times New Roman" w:cs="Times New Roman"/>
          <w:sz w:val="24"/>
          <w:szCs w:val="24"/>
        </w:rPr>
        <w:t>Ocaña Peinado, F. (2017).  Análisis descriptivo y exploratorio de datos.  [Internet]. 2020</w:t>
      </w:r>
      <w:r w:rsidR="004E48D2" w:rsidRPr="00AB4F72">
        <w:rPr>
          <w:rFonts w:ascii="Times New Roman" w:hAnsi="Times New Roman" w:cs="Times New Roman"/>
          <w:sz w:val="24"/>
          <w:szCs w:val="24"/>
        </w:rPr>
        <w:t xml:space="preserve">. </w:t>
      </w:r>
      <w:r w:rsidRPr="00AB4F72">
        <w:rPr>
          <w:rFonts w:ascii="Times New Roman" w:hAnsi="Times New Roman" w:cs="Times New Roman"/>
          <w:sz w:val="24"/>
          <w:szCs w:val="24"/>
          <w:lang w:eastAsia="es-CO"/>
        </w:rPr>
        <w:t xml:space="preserve">Recuperado de: </w:t>
      </w:r>
      <w:hyperlink r:id="rId14" w:history="1">
        <w:r w:rsidR="004E48D2" w:rsidRPr="00AB4F72">
          <w:rPr>
            <w:rStyle w:val="Hipervnculo"/>
            <w:rFonts w:ascii="Times New Roman" w:hAnsi="Times New Roman" w:cs="Times New Roman"/>
            <w:sz w:val="24"/>
            <w:szCs w:val="24"/>
          </w:rPr>
          <w:t>https://www.ugr.es/~fmocan/MATERIALES%20DOCTORADO/DESCRIPTIVA%20Y%20EXPLORATORIO.pdf</w:t>
        </w:r>
      </w:hyperlink>
    </w:p>
    <w:p w14:paraId="5147BA8B" w14:textId="77777777" w:rsidR="00DB3FC8" w:rsidRPr="00AB4F72" w:rsidRDefault="00DB3FC8" w:rsidP="00DB3FC8">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 xml:space="preserve">Olea, F. (2017). Técnicas estadísticas aplicadas en nutrición y salud. [Internet]. 2020. </w:t>
      </w:r>
      <w:r w:rsidRPr="00AB4F72">
        <w:rPr>
          <w:rFonts w:ascii="Times New Roman" w:hAnsi="Times New Roman" w:cs="Times New Roman"/>
          <w:sz w:val="24"/>
          <w:szCs w:val="24"/>
          <w:lang w:eastAsia="es-CO"/>
        </w:rPr>
        <w:t xml:space="preserve">Recuperado de: </w:t>
      </w:r>
      <w:hyperlink r:id="rId15" w:history="1">
        <w:r w:rsidRPr="00AB4F72">
          <w:rPr>
            <w:rStyle w:val="Hipervnculo"/>
            <w:rFonts w:ascii="Times New Roman" w:hAnsi="Times New Roman" w:cs="Times New Roman"/>
            <w:sz w:val="24"/>
            <w:szCs w:val="24"/>
          </w:rPr>
          <w:t>https://docplayer.es/23452427-Tecnicas-estadisticas-aplicadas-en-nutricion-y-salud.html</w:t>
        </w:r>
      </w:hyperlink>
    </w:p>
    <w:p w14:paraId="0947A147" w14:textId="63912CA7" w:rsidR="009729B3" w:rsidRPr="00AB4F72" w:rsidRDefault="009729B3" w:rsidP="00135B46">
      <w:pPr>
        <w:spacing w:line="360" w:lineRule="auto"/>
        <w:jc w:val="both"/>
        <w:rPr>
          <w:rStyle w:val="Hipervnculo"/>
          <w:rFonts w:ascii="Times New Roman" w:hAnsi="Times New Roman" w:cs="Times New Roman"/>
          <w:sz w:val="24"/>
          <w:szCs w:val="24"/>
          <w:lang w:val="fr-FR"/>
        </w:rPr>
      </w:pPr>
      <w:r w:rsidRPr="00AB4F72">
        <w:rPr>
          <w:rFonts w:ascii="Times New Roman" w:hAnsi="Times New Roman" w:cs="Times New Roman"/>
          <w:sz w:val="24"/>
          <w:szCs w:val="24"/>
        </w:rPr>
        <w:t xml:space="preserve">Revista SEMANA. (2022). El conflicto Rusia-Ucrania dispara el precio del petróleo. </w:t>
      </w:r>
      <w:r w:rsidR="00095426" w:rsidRPr="00AB4F72">
        <w:rPr>
          <w:rFonts w:ascii="Times New Roman" w:hAnsi="Times New Roman" w:cs="Times New Roman"/>
          <w:sz w:val="24"/>
          <w:szCs w:val="24"/>
          <w:lang w:val="fr-FR"/>
        </w:rPr>
        <w:t xml:space="preserve">[Internet]. </w:t>
      </w:r>
      <w:r w:rsidRPr="00AB4F72">
        <w:rPr>
          <w:rFonts w:ascii="Times New Roman" w:hAnsi="Times New Roman" w:cs="Times New Roman"/>
          <w:sz w:val="24"/>
          <w:szCs w:val="24"/>
          <w:lang w:val="fr-FR"/>
        </w:rPr>
        <w:t xml:space="preserve">Disponible </w:t>
      </w:r>
      <w:r w:rsidR="0082399B" w:rsidRPr="00AB4F72">
        <w:rPr>
          <w:rFonts w:ascii="Times New Roman" w:hAnsi="Times New Roman" w:cs="Times New Roman"/>
          <w:sz w:val="24"/>
          <w:szCs w:val="24"/>
          <w:lang w:val="fr-FR"/>
        </w:rPr>
        <w:t>en</w:t>
      </w:r>
      <w:r w:rsidR="00350CBA" w:rsidRPr="00AB4F72">
        <w:rPr>
          <w:rFonts w:ascii="Times New Roman" w:hAnsi="Times New Roman" w:cs="Times New Roman"/>
          <w:sz w:val="24"/>
          <w:szCs w:val="24"/>
          <w:lang w:val="fr-FR"/>
        </w:rPr>
        <w:t> :</w:t>
      </w:r>
      <w:r w:rsidR="0082399B" w:rsidRPr="00AB4F72">
        <w:rPr>
          <w:rFonts w:ascii="Times New Roman" w:hAnsi="Times New Roman" w:cs="Times New Roman"/>
          <w:sz w:val="24"/>
          <w:szCs w:val="24"/>
          <w:lang w:val="fr-FR"/>
        </w:rPr>
        <w:t xml:space="preserve"> :</w:t>
      </w:r>
      <w:r w:rsidRPr="00AB4F72">
        <w:rPr>
          <w:rFonts w:ascii="Times New Roman" w:hAnsi="Times New Roman" w:cs="Times New Roman"/>
          <w:sz w:val="24"/>
          <w:szCs w:val="24"/>
          <w:lang w:val="fr-FR"/>
        </w:rPr>
        <w:t xml:space="preserve"> </w:t>
      </w:r>
      <w:hyperlink r:id="rId16" w:history="1">
        <w:r w:rsidRPr="00AB4F72">
          <w:rPr>
            <w:rStyle w:val="Hipervnculo"/>
            <w:rFonts w:ascii="Times New Roman" w:hAnsi="Times New Roman" w:cs="Times New Roman"/>
            <w:sz w:val="24"/>
            <w:szCs w:val="24"/>
            <w:lang w:val="fr-FR"/>
          </w:rPr>
          <w:t>https://www.semana.com/economia/macroeconomia/articulo/el-conflicto-rusia-ucrania-dispara-el-precio-del-petroleo/202251/</w:t>
        </w:r>
      </w:hyperlink>
    </w:p>
    <w:p w14:paraId="459FF8A4" w14:textId="77777777" w:rsidR="00DB3FC8" w:rsidRPr="00AB4F72" w:rsidRDefault="00DB3FC8" w:rsidP="00DB3FC8">
      <w:pPr>
        <w:spacing w:line="360" w:lineRule="auto"/>
        <w:jc w:val="both"/>
        <w:rPr>
          <w:rFonts w:ascii="Times New Roman" w:hAnsi="Times New Roman" w:cs="Times New Roman"/>
          <w:sz w:val="24"/>
          <w:szCs w:val="24"/>
        </w:rPr>
      </w:pPr>
      <w:r w:rsidRPr="00AB4F72">
        <w:rPr>
          <w:rFonts w:ascii="Times New Roman" w:hAnsi="Times New Roman" w:cs="Times New Roman"/>
          <w:sz w:val="24"/>
          <w:szCs w:val="24"/>
        </w:rPr>
        <w:t>Ruiz, J. (2022). La triple factura de la guerra de Ucrania: luz, petróleo y sueldos. Disponible en: https://cadenaser.com/2022/03/07/la-triple-factura-de-la-guerra-de-ucrania-luz-petroleo-y-sueldos/</w:t>
      </w:r>
    </w:p>
    <w:p w14:paraId="013C9294" w14:textId="3EE288E7" w:rsidR="00947E48" w:rsidRPr="00FF08F2" w:rsidRDefault="00B8205D" w:rsidP="00B5028B">
      <w:pPr>
        <w:spacing w:line="360" w:lineRule="auto"/>
        <w:jc w:val="both"/>
        <w:rPr>
          <w:rFonts w:ascii="Arial" w:hAnsi="Arial" w:cs="Arial"/>
          <w:sz w:val="24"/>
          <w:szCs w:val="24"/>
        </w:rPr>
      </w:pPr>
      <w:r w:rsidRPr="00AB4F72">
        <w:rPr>
          <w:rFonts w:ascii="Times New Roman" w:hAnsi="Times New Roman" w:cs="Times New Roman"/>
          <w:sz w:val="24"/>
          <w:szCs w:val="24"/>
        </w:rPr>
        <w:t>Shuttleworth, M (2008). Diseño de la investigación cuantitativa. [Internet]. 2020</w:t>
      </w:r>
      <w:r w:rsidR="00B5028B" w:rsidRPr="00AB4F72">
        <w:rPr>
          <w:rFonts w:ascii="Times New Roman" w:hAnsi="Times New Roman" w:cs="Times New Roman"/>
          <w:sz w:val="24"/>
          <w:szCs w:val="24"/>
        </w:rPr>
        <w:t>.</w:t>
      </w:r>
      <w:r w:rsidRPr="00AB4F72">
        <w:rPr>
          <w:rFonts w:ascii="Times New Roman" w:hAnsi="Times New Roman" w:cs="Times New Roman"/>
          <w:sz w:val="24"/>
          <w:szCs w:val="24"/>
        </w:rPr>
        <w:t xml:space="preserve"> </w:t>
      </w:r>
      <w:r w:rsidRPr="00AB4F72">
        <w:rPr>
          <w:rFonts w:ascii="Times New Roman" w:hAnsi="Times New Roman" w:cs="Times New Roman"/>
          <w:sz w:val="24"/>
          <w:szCs w:val="24"/>
          <w:lang w:eastAsia="es-CO"/>
        </w:rPr>
        <w:t xml:space="preserve">Recuperado de: </w:t>
      </w:r>
      <w:r w:rsidRPr="00AB4F72">
        <w:rPr>
          <w:rFonts w:ascii="Times New Roman" w:hAnsi="Times New Roman" w:cs="Times New Roman"/>
          <w:sz w:val="24"/>
          <w:szCs w:val="24"/>
        </w:rPr>
        <w:t>https:// explorable.com/es/diseño-de-lainvestigacion-cuantitativa</w:t>
      </w:r>
    </w:p>
    <w:sectPr w:rsidR="00947E48" w:rsidRPr="00FF08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29"/>
    <w:rsid w:val="00014356"/>
    <w:rsid w:val="00030AA0"/>
    <w:rsid w:val="00047AFB"/>
    <w:rsid w:val="00082D67"/>
    <w:rsid w:val="00083432"/>
    <w:rsid w:val="00095426"/>
    <w:rsid w:val="000A0C1F"/>
    <w:rsid w:val="000B0E7D"/>
    <w:rsid w:val="000C6DE0"/>
    <w:rsid w:val="000D0805"/>
    <w:rsid w:val="000E4F65"/>
    <w:rsid w:val="000E5825"/>
    <w:rsid w:val="000F3E55"/>
    <w:rsid w:val="00101C9A"/>
    <w:rsid w:val="001047E1"/>
    <w:rsid w:val="00123001"/>
    <w:rsid w:val="00126018"/>
    <w:rsid w:val="00134EC4"/>
    <w:rsid w:val="00135B46"/>
    <w:rsid w:val="00157449"/>
    <w:rsid w:val="001635D1"/>
    <w:rsid w:val="00163C63"/>
    <w:rsid w:val="0018150D"/>
    <w:rsid w:val="00182D29"/>
    <w:rsid w:val="00186F31"/>
    <w:rsid w:val="00197CB2"/>
    <w:rsid w:val="001B123E"/>
    <w:rsid w:val="001B31CA"/>
    <w:rsid w:val="001E7535"/>
    <w:rsid w:val="001F1262"/>
    <w:rsid w:val="001F54DF"/>
    <w:rsid w:val="00237364"/>
    <w:rsid w:val="00242EFA"/>
    <w:rsid w:val="00257DBC"/>
    <w:rsid w:val="00281471"/>
    <w:rsid w:val="002A2136"/>
    <w:rsid w:val="002A6095"/>
    <w:rsid w:val="002E0087"/>
    <w:rsid w:val="002E413C"/>
    <w:rsid w:val="002E7777"/>
    <w:rsid w:val="003061AE"/>
    <w:rsid w:val="0033286C"/>
    <w:rsid w:val="00350CBA"/>
    <w:rsid w:val="00363BAB"/>
    <w:rsid w:val="00366A71"/>
    <w:rsid w:val="003841EA"/>
    <w:rsid w:val="0039328E"/>
    <w:rsid w:val="003A4736"/>
    <w:rsid w:val="003A6E4D"/>
    <w:rsid w:val="003D34D1"/>
    <w:rsid w:val="003D505C"/>
    <w:rsid w:val="003E0E14"/>
    <w:rsid w:val="003F00F9"/>
    <w:rsid w:val="003F413B"/>
    <w:rsid w:val="00404F5D"/>
    <w:rsid w:val="0040681F"/>
    <w:rsid w:val="00421C71"/>
    <w:rsid w:val="0042555A"/>
    <w:rsid w:val="00426965"/>
    <w:rsid w:val="00437BF5"/>
    <w:rsid w:val="00440D29"/>
    <w:rsid w:val="00442498"/>
    <w:rsid w:val="0044441A"/>
    <w:rsid w:val="00444E3E"/>
    <w:rsid w:val="004757F7"/>
    <w:rsid w:val="0048676C"/>
    <w:rsid w:val="004C1F54"/>
    <w:rsid w:val="004E48D2"/>
    <w:rsid w:val="0050735B"/>
    <w:rsid w:val="005119B1"/>
    <w:rsid w:val="005166EC"/>
    <w:rsid w:val="00523A90"/>
    <w:rsid w:val="00524B4B"/>
    <w:rsid w:val="00524EC6"/>
    <w:rsid w:val="00527CBA"/>
    <w:rsid w:val="00527DFF"/>
    <w:rsid w:val="005371E1"/>
    <w:rsid w:val="00546DC9"/>
    <w:rsid w:val="005508A3"/>
    <w:rsid w:val="005647C7"/>
    <w:rsid w:val="0058497D"/>
    <w:rsid w:val="005A46BC"/>
    <w:rsid w:val="005B2C14"/>
    <w:rsid w:val="005D556E"/>
    <w:rsid w:val="005E59B8"/>
    <w:rsid w:val="005F3E0F"/>
    <w:rsid w:val="005F674D"/>
    <w:rsid w:val="00603139"/>
    <w:rsid w:val="00607DE9"/>
    <w:rsid w:val="00630A7E"/>
    <w:rsid w:val="0064633B"/>
    <w:rsid w:val="006670B9"/>
    <w:rsid w:val="00686CA6"/>
    <w:rsid w:val="00693B2A"/>
    <w:rsid w:val="006A2725"/>
    <w:rsid w:val="006A5AFD"/>
    <w:rsid w:val="006B7F12"/>
    <w:rsid w:val="006D668E"/>
    <w:rsid w:val="006E7905"/>
    <w:rsid w:val="00734C2E"/>
    <w:rsid w:val="007521DD"/>
    <w:rsid w:val="0075488F"/>
    <w:rsid w:val="00755000"/>
    <w:rsid w:val="00756A6B"/>
    <w:rsid w:val="00757412"/>
    <w:rsid w:val="0079553D"/>
    <w:rsid w:val="00797F58"/>
    <w:rsid w:val="007C15F4"/>
    <w:rsid w:val="007E0FBD"/>
    <w:rsid w:val="007F2E82"/>
    <w:rsid w:val="008025DC"/>
    <w:rsid w:val="008034F9"/>
    <w:rsid w:val="00807661"/>
    <w:rsid w:val="00812692"/>
    <w:rsid w:val="0082399B"/>
    <w:rsid w:val="00824985"/>
    <w:rsid w:val="00842611"/>
    <w:rsid w:val="00842978"/>
    <w:rsid w:val="008550D3"/>
    <w:rsid w:val="008577BD"/>
    <w:rsid w:val="008607B4"/>
    <w:rsid w:val="00862A83"/>
    <w:rsid w:val="008B5584"/>
    <w:rsid w:val="008D49C7"/>
    <w:rsid w:val="00910A49"/>
    <w:rsid w:val="00925FA5"/>
    <w:rsid w:val="00940C84"/>
    <w:rsid w:val="00947E48"/>
    <w:rsid w:val="00966CC8"/>
    <w:rsid w:val="009707B5"/>
    <w:rsid w:val="009729B3"/>
    <w:rsid w:val="009842F1"/>
    <w:rsid w:val="009900BD"/>
    <w:rsid w:val="00993EC5"/>
    <w:rsid w:val="009C53AD"/>
    <w:rsid w:val="009C77A2"/>
    <w:rsid w:val="009D14B7"/>
    <w:rsid w:val="009D1DDF"/>
    <w:rsid w:val="00A273D4"/>
    <w:rsid w:val="00A639E8"/>
    <w:rsid w:val="00A72A47"/>
    <w:rsid w:val="00A9442B"/>
    <w:rsid w:val="00AB4F72"/>
    <w:rsid w:val="00AB6E36"/>
    <w:rsid w:val="00AD6589"/>
    <w:rsid w:val="00AE5ACF"/>
    <w:rsid w:val="00AE6EDC"/>
    <w:rsid w:val="00B06E15"/>
    <w:rsid w:val="00B20F54"/>
    <w:rsid w:val="00B5028B"/>
    <w:rsid w:val="00B660FC"/>
    <w:rsid w:val="00B8205D"/>
    <w:rsid w:val="00BA0E48"/>
    <w:rsid w:val="00BB6714"/>
    <w:rsid w:val="00BC0B6F"/>
    <w:rsid w:val="00BC1690"/>
    <w:rsid w:val="00BD390F"/>
    <w:rsid w:val="00C0120C"/>
    <w:rsid w:val="00C10920"/>
    <w:rsid w:val="00C22F1F"/>
    <w:rsid w:val="00C263E3"/>
    <w:rsid w:val="00C27EFE"/>
    <w:rsid w:val="00C411AA"/>
    <w:rsid w:val="00C47A7A"/>
    <w:rsid w:val="00C51625"/>
    <w:rsid w:val="00C523CC"/>
    <w:rsid w:val="00C62357"/>
    <w:rsid w:val="00C8290B"/>
    <w:rsid w:val="00C869F8"/>
    <w:rsid w:val="00C92A9E"/>
    <w:rsid w:val="00C95074"/>
    <w:rsid w:val="00CC5C07"/>
    <w:rsid w:val="00CE4BD4"/>
    <w:rsid w:val="00CE5D1D"/>
    <w:rsid w:val="00CE7172"/>
    <w:rsid w:val="00D05317"/>
    <w:rsid w:val="00D112FF"/>
    <w:rsid w:val="00D129DD"/>
    <w:rsid w:val="00D44CD3"/>
    <w:rsid w:val="00D4574E"/>
    <w:rsid w:val="00D51676"/>
    <w:rsid w:val="00D609CF"/>
    <w:rsid w:val="00D735BF"/>
    <w:rsid w:val="00D96641"/>
    <w:rsid w:val="00DB0696"/>
    <w:rsid w:val="00DB3FC8"/>
    <w:rsid w:val="00DC3125"/>
    <w:rsid w:val="00DC3519"/>
    <w:rsid w:val="00DD0048"/>
    <w:rsid w:val="00DD574D"/>
    <w:rsid w:val="00DE54C6"/>
    <w:rsid w:val="00DF08A7"/>
    <w:rsid w:val="00E152BA"/>
    <w:rsid w:val="00E34CE4"/>
    <w:rsid w:val="00E45B84"/>
    <w:rsid w:val="00E53900"/>
    <w:rsid w:val="00E55DB9"/>
    <w:rsid w:val="00E742A9"/>
    <w:rsid w:val="00E80FFA"/>
    <w:rsid w:val="00EB0AE7"/>
    <w:rsid w:val="00ED248B"/>
    <w:rsid w:val="00ED5F19"/>
    <w:rsid w:val="00ED7602"/>
    <w:rsid w:val="00EE6B22"/>
    <w:rsid w:val="00F33179"/>
    <w:rsid w:val="00F371B4"/>
    <w:rsid w:val="00F44AA0"/>
    <w:rsid w:val="00F4762B"/>
    <w:rsid w:val="00F506EB"/>
    <w:rsid w:val="00F632DC"/>
    <w:rsid w:val="00F678E6"/>
    <w:rsid w:val="00F817C9"/>
    <w:rsid w:val="00F96E75"/>
    <w:rsid w:val="00FA2D87"/>
    <w:rsid w:val="00FA6601"/>
    <w:rsid w:val="00FB0313"/>
    <w:rsid w:val="00FE5294"/>
    <w:rsid w:val="00FF08F2"/>
    <w:rsid w:val="00FF0F5F"/>
    <w:rsid w:val="00FF1E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77BA"/>
  <w15:chartTrackingRefBased/>
  <w15:docId w15:val="{B75F9077-FCE3-429A-BA73-6B48D6B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47E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2D29"/>
    <w:rPr>
      <w:color w:val="0563C1" w:themeColor="hyperlink"/>
      <w:u w:val="single"/>
    </w:rPr>
  </w:style>
  <w:style w:type="character" w:styleId="Mencinsinresolver">
    <w:name w:val="Unresolved Mention"/>
    <w:basedOn w:val="Fuentedeprrafopredeter"/>
    <w:uiPriority w:val="99"/>
    <w:semiHidden/>
    <w:unhideWhenUsed/>
    <w:rsid w:val="00182D29"/>
    <w:rPr>
      <w:color w:val="605E5C"/>
      <w:shd w:val="clear" w:color="auto" w:fill="E1DFDD"/>
    </w:rPr>
  </w:style>
  <w:style w:type="character" w:customStyle="1" w:styleId="Ttulo1Car">
    <w:name w:val="Título 1 Car"/>
    <w:basedOn w:val="Fuentedeprrafopredeter"/>
    <w:link w:val="Ttulo1"/>
    <w:uiPriority w:val="9"/>
    <w:rsid w:val="00947E48"/>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44249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qpopupwrapper">
    <w:name w:val="aqpopupwrapper"/>
    <w:basedOn w:val="Fuentedeprrafopredeter"/>
    <w:rsid w:val="00442498"/>
  </w:style>
  <w:style w:type="character" w:styleId="Refdecomentario">
    <w:name w:val="annotation reference"/>
    <w:basedOn w:val="Fuentedeprrafopredeter"/>
    <w:uiPriority w:val="99"/>
    <w:semiHidden/>
    <w:unhideWhenUsed/>
    <w:rsid w:val="00D735BF"/>
    <w:rPr>
      <w:sz w:val="16"/>
      <w:szCs w:val="16"/>
    </w:rPr>
  </w:style>
  <w:style w:type="paragraph" w:styleId="Textocomentario">
    <w:name w:val="annotation text"/>
    <w:basedOn w:val="Normal"/>
    <w:link w:val="TextocomentarioCar"/>
    <w:uiPriority w:val="99"/>
    <w:semiHidden/>
    <w:unhideWhenUsed/>
    <w:rsid w:val="00D735BF"/>
    <w:pPr>
      <w:spacing w:line="240" w:lineRule="auto"/>
    </w:pPr>
    <w:rPr>
      <w:sz w:val="20"/>
      <w:szCs w:val="20"/>
      <w:lang w:val="en-US"/>
    </w:rPr>
  </w:style>
  <w:style w:type="character" w:customStyle="1" w:styleId="TextocomentarioCar">
    <w:name w:val="Texto comentario Car"/>
    <w:basedOn w:val="Fuentedeprrafopredeter"/>
    <w:link w:val="Textocomentario"/>
    <w:uiPriority w:val="99"/>
    <w:semiHidden/>
    <w:rsid w:val="00D735BF"/>
    <w:rPr>
      <w:sz w:val="20"/>
      <w:szCs w:val="20"/>
      <w:lang w:val="en-US"/>
    </w:rPr>
  </w:style>
  <w:style w:type="character" w:styleId="Textoennegrita">
    <w:name w:val="Strong"/>
    <w:basedOn w:val="Fuentedeprrafopredeter"/>
    <w:uiPriority w:val="22"/>
    <w:qFormat/>
    <w:rsid w:val="00FB0313"/>
    <w:rPr>
      <w:b/>
      <w:bCs/>
    </w:rPr>
  </w:style>
  <w:style w:type="character" w:styleId="nfasis">
    <w:name w:val="Emphasis"/>
    <w:basedOn w:val="Fuentedeprrafopredeter"/>
    <w:uiPriority w:val="20"/>
    <w:qFormat/>
    <w:rsid w:val="000D0805"/>
    <w:rPr>
      <w:i/>
      <w:iCs/>
    </w:rPr>
  </w:style>
  <w:style w:type="paragraph" w:customStyle="1" w:styleId="Default">
    <w:name w:val="Default"/>
    <w:rsid w:val="009D14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4142">
      <w:bodyDiv w:val="1"/>
      <w:marLeft w:val="0"/>
      <w:marRight w:val="0"/>
      <w:marTop w:val="0"/>
      <w:marBottom w:val="0"/>
      <w:divBdr>
        <w:top w:val="none" w:sz="0" w:space="0" w:color="auto"/>
        <w:left w:val="none" w:sz="0" w:space="0" w:color="auto"/>
        <w:bottom w:val="none" w:sz="0" w:space="0" w:color="auto"/>
        <w:right w:val="none" w:sz="0" w:space="0" w:color="auto"/>
      </w:divBdr>
      <w:divsChild>
        <w:div w:id="1155755661">
          <w:marLeft w:val="0"/>
          <w:marRight w:val="0"/>
          <w:marTop w:val="0"/>
          <w:marBottom w:val="0"/>
          <w:divBdr>
            <w:top w:val="none" w:sz="0" w:space="0" w:color="auto"/>
            <w:left w:val="none" w:sz="0" w:space="0" w:color="auto"/>
            <w:bottom w:val="none" w:sz="0" w:space="0" w:color="auto"/>
            <w:right w:val="none" w:sz="0" w:space="0" w:color="auto"/>
          </w:divBdr>
        </w:div>
        <w:div w:id="1244218729">
          <w:marLeft w:val="0"/>
          <w:marRight w:val="0"/>
          <w:marTop w:val="0"/>
          <w:marBottom w:val="0"/>
          <w:divBdr>
            <w:top w:val="none" w:sz="0" w:space="0" w:color="auto"/>
            <w:left w:val="none" w:sz="0" w:space="0" w:color="auto"/>
            <w:bottom w:val="none" w:sz="0" w:space="0" w:color="auto"/>
            <w:right w:val="none" w:sz="0" w:space="0" w:color="auto"/>
          </w:divBdr>
        </w:div>
        <w:div w:id="1864859471">
          <w:marLeft w:val="0"/>
          <w:marRight w:val="0"/>
          <w:marTop w:val="0"/>
          <w:marBottom w:val="0"/>
          <w:divBdr>
            <w:top w:val="none" w:sz="0" w:space="0" w:color="auto"/>
            <w:left w:val="none" w:sz="0" w:space="0" w:color="auto"/>
            <w:bottom w:val="none" w:sz="0" w:space="0" w:color="auto"/>
            <w:right w:val="none" w:sz="0" w:space="0" w:color="auto"/>
          </w:divBdr>
        </w:div>
        <w:div w:id="458576606">
          <w:marLeft w:val="0"/>
          <w:marRight w:val="0"/>
          <w:marTop w:val="0"/>
          <w:marBottom w:val="0"/>
          <w:divBdr>
            <w:top w:val="none" w:sz="0" w:space="0" w:color="auto"/>
            <w:left w:val="none" w:sz="0" w:space="0" w:color="auto"/>
            <w:bottom w:val="none" w:sz="0" w:space="0" w:color="auto"/>
            <w:right w:val="none" w:sz="0" w:space="0" w:color="auto"/>
          </w:divBdr>
        </w:div>
        <w:div w:id="753818935">
          <w:marLeft w:val="0"/>
          <w:marRight w:val="0"/>
          <w:marTop w:val="0"/>
          <w:marBottom w:val="0"/>
          <w:divBdr>
            <w:top w:val="none" w:sz="0" w:space="0" w:color="auto"/>
            <w:left w:val="none" w:sz="0" w:space="0" w:color="auto"/>
            <w:bottom w:val="none" w:sz="0" w:space="0" w:color="auto"/>
            <w:right w:val="none" w:sz="0" w:space="0" w:color="auto"/>
          </w:divBdr>
        </w:div>
        <w:div w:id="470102529">
          <w:marLeft w:val="0"/>
          <w:marRight w:val="0"/>
          <w:marTop w:val="0"/>
          <w:marBottom w:val="0"/>
          <w:divBdr>
            <w:top w:val="none" w:sz="0" w:space="0" w:color="auto"/>
            <w:left w:val="none" w:sz="0" w:space="0" w:color="auto"/>
            <w:bottom w:val="none" w:sz="0" w:space="0" w:color="auto"/>
            <w:right w:val="none" w:sz="0" w:space="0" w:color="auto"/>
          </w:divBdr>
        </w:div>
        <w:div w:id="1547177257">
          <w:marLeft w:val="0"/>
          <w:marRight w:val="0"/>
          <w:marTop w:val="0"/>
          <w:marBottom w:val="0"/>
          <w:divBdr>
            <w:top w:val="none" w:sz="0" w:space="0" w:color="auto"/>
            <w:left w:val="none" w:sz="0" w:space="0" w:color="auto"/>
            <w:bottom w:val="none" w:sz="0" w:space="0" w:color="auto"/>
            <w:right w:val="none" w:sz="0" w:space="0" w:color="auto"/>
          </w:divBdr>
        </w:div>
        <w:div w:id="1765568597">
          <w:marLeft w:val="0"/>
          <w:marRight w:val="0"/>
          <w:marTop w:val="0"/>
          <w:marBottom w:val="0"/>
          <w:divBdr>
            <w:top w:val="none" w:sz="0" w:space="0" w:color="auto"/>
            <w:left w:val="none" w:sz="0" w:space="0" w:color="auto"/>
            <w:bottom w:val="none" w:sz="0" w:space="0" w:color="auto"/>
            <w:right w:val="none" w:sz="0" w:space="0" w:color="auto"/>
          </w:divBdr>
        </w:div>
        <w:div w:id="403140092">
          <w:marLeft w:val="0"/>
          <w:marRight w:val="0"/>
          <w:marTop w:val="0"/>
          <w:marBottom w:val="0"/>
          <w:divBdr>
            <w:top w:val="none" w:sz="0" w:space="0" w:color="auto"/>
            <w:left w:val="none" w:sz="0" w:space="0" w:color="auto"/>
            <w:bottom w:val="none" w:sz="0" w:space="0" w:color="auto"/>
            <w:right w:val="none" w:sz="0" w:space="0" w:color="auto"/>
          </w:divBdr>
        </w:div>
        <w:div w:id="2015330185">
          <w:marLeft w:val="0"/>
          <w:marRight w:val="0"/>
          <w:marTop w:val="0"/>
          <w:marBottom w:val="0"/>
          <w:divBdr>
            <w:top w:val="none" w:sz="0" w:space="0" w:color="auto"/>
            <w:left w:val="none" w:sz="0" w:space="0" w:color="auto"/>
            <w:bottom w:val="none" w:sz="0" w:space="0" w:color="auto"/>
            <w:right w:val="none" w:sz="0" w:space="0" w:color="auto"/>
          </w:divBdr>
        </w:div>
        <w:div w:id="1293902385">
          <w:marLeft w:val="0"/>
          <w:marRight w:val="0"/>
          <w:marTop w:val="0"/>
          <w:marBottom w:val="0"/>
          <w:divBdr>
            <w:top w:val="none" w:sz="0" w:space="0" w:color="auto"/>
            <w:left w:val="none" w:sz="0" w:space="0" w:color="auto"/>
            <w:bottom w:val="none" w:sz="0" w:space="0" w:color="auto"/>
            <w:right w:val="none" w:sz="0" w:space="0" w:color="auto"/>
          </w:divBdr>
        </w:div>
        <w:div w:id="144012412">
          <w:marLeft w:val="0"/>
          <w:marRight w:val="0"/>
          <w:marTop w:val="0"/>
          <w:marBottom w:val="0"/>
          <w:divBdr>
            <w:top w:val="none" w:sz="0" w:space="0" w:color="auto"/>
            <w:left w:val="none" w:sz="0" w:space="0" w:color="auto"/>
            <w:bottom w:val="none" w:sz="0" w:space="0" w:color="auto"/>
            <w:right w:val="none" w:sz="0" w:space="0" w:color="auto"/>
          </w:divBdr>
        </w:div>
        <w:div w:id="1367297060">
          <w:marLeft w:val="0"/>
          <w:marRight w:val="0"/>
          <w:marTop w:val="0"/>
          <w:marBottom w:val="0"/>
          <w:divBdr>
            <w:top w:val="none" w:sz="0" w:space="0" w:color="auto"/>
            <w:left w:val="none" w:sz="0" w:space="0" w:color="auto"/>
            <w:bottom w:val="none" w:sz="0" w:space="0" w:color="auto"/>
            <w:right w:val="none" w:sz="0" w:space="0" w:color="auto"/>
          </w:divBdr>
        </w:div>
        <w:div w:id="667171057">
          <w:marLeft w:val="0"/>
          <w:marRight w:val="0"/>
          <w:marTop w:val="0"/>
          <w:marBottom w:val="0"/>
          <w:divBdr>
            <w:top w:val="none" w:sz="0" w:space="0" w:color="auto"/>
            <w:left w:val="none" w:sz="0" w:space="0" w:color="auto"/>
            <w:bottom w:val="none" w:sz="0" w:space="0" w:color="auto"/>
            <w:right w:val="none" w:sz="0" w:space="0" w:color="auto"/>
          </w:divBdr>
        </w:div>
      </w:divsChild>
    </w:div>
    <w:div w:id="44989594">
      <w:bodyDiv w:val="1"/>
      <w:marLeft w:val="0"/>
      <w:marRight w:val="0"/>
      <w:marTop w:val="0"/>
      <w:marBottom w:val="0"/>
      <w:divBdr>
        <w:top w:val="none" w:sz="0" w:space="0" w:color="auto"/>
        <w:left w:val="none" w:sz="0" w:space="0" w:color="auto"/>
        <w:bottom w:val="none" w:sz="0" w:space="0" w:color="auto"/>
        <w:right w:val="none" w:sz="0" w:space="0" w:color="auto"/>
      </w:divBdr>
    </w:div>
    <w:div w:id="192117638">
      <w:bodyDiv w:val="1"/>
      <w:marLeft w:val="0"/>
      <w:marRight w:val="0"/>
      <w:marTop w:val="0"/>
      <w:marBottom w:val="0"/>
      <w:divBdr>
        <w:top w:val="none" w:sz="0" w:space="0" w:color="auto"/>
        <w:left w:val="none" w:sz="0" w:space="0" w:color="auto"/>
        <w:bottom w:val="none" w:sz="0" w:space="0" w:color="auto"/>
        <w:right w:val="none" w:sz="0" w:space="0" w:color="auto"/>
      </w:divBdr>
    </w:div>
    <w:div w:id="194197070">
      <w:bodyDiv w:val="1"/>
      <w:marLeft w:val="0"/>
      <w:marRight w:val="0"/>
      <w:marTop w:val="0"/>
      <w:marBottom w:val="0"/>
      <w:divBdr>
        <w:top w:val="none" w:sz="0" w:space="0" w:color="auto"/>
        <w:left w:val="none" w:sz="0" w:space="0" w:color="auto"/>
        <w:bottom w:val="none" w:sz="0" w:space="0" w:color="auto"/>
        <w:right w:val="none" w:sz="0" w:space="0" w:color="auto"/>
      </w:divBdr>
    </w:div>
    <w:div w:id="203181624">
      <w:bodyDiv w:val="1"/>
      <w:marLeft w:val="0"/>
      <w:marRight w:val="0"/>
      <w:marTop w:val="0"/>
      <w:marBottom w:val="0"/>
      <w:divBdr>
        <w:top w:val="none" w:sz="0" w:space="0" w:color="auto"/>
        <w:left w:val="none" w:sz="0" w:space="0" w:color="auto"/>
        <w:bottom w:val="none" w:sz="0" w:space="0" w:color="auto"/>
        <w:right w:val="none" w:sz="0" w:space="0" w:color="auto"/>
      </w:divBdr>
    </w:div>
    <w:div w:id="438372756">
      <w:bodyDiv w:val="1"/>
      <w:marLeft w:val="0"/>
      <w:marRight w:val="0"/>
      <w:marTop w:val="0"/>
      <w:marBottom w:val="0"/>
      <w:divBdr>
        <w:top w:val="none" w:sz="0" w:space="0" w:color="auto"/>
        <w:left w:val="none" w:sz="0" w:space="0" w:color="auto"/>
        <w:bottom w:val="none" w:sz="0" w:space="0" w:color="auto"/>
        <w:right w:val="none" w:sz="0" w:space="0" w:color="auto"/>
      </w:divBdr>
    </w:div>
    <w:div w:id="690031661">
      <w:bodyDiv w:val="1"/>
      <w:marLeft w:val="0"/>
      <w:marRight w:val="0"/>
      <w:marTop w:val="0"/>
      <w:marBottom w:val="0"/>
      <w:divBdr>
        <w:top w:val="none" w:sz="0" w:space="0" w:color="auto"/>
        <w:left w:val="none" w:sz="0" w:space="0" w:color="auto"/>
        <w:bottom w:val="none" w:sz="0" w:space="0" w:color="auto"/>
        <w:right w:val="none" w:sz="0" w:space="0" w:color="auto"/>
      </w:divBdr>
      <w:divsChild>
        <w:div w:id="1451826769">
          <w:marLeft w:val="0"/>
          <w:marRight w:val="0"/>
          <w:marTop w:val="15"/>
          <w:marBottom w:val="0"/>
          <w:divBdr>
            <w:top w:val="single" w:sz="48" w:space="0" w:color="auto"/>
            <w:left w:val="single" w:sz="48" w:space="0" w:color="auto"/>
            <w:bottom w:val="single" w:sz="48" w:space="0" w:color="auto"/>
            <w:right w:val="single" w:sz="48" w:space="0" w:color="auto"/>
          </w:divBdr>
          <w:divsChild>
            <w:div w:id="16909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142">
      <w:bodyDiv w:val="1"/>
      <w:marLeft w:val="0"/>
      <w:marRight w:val="0"/>
      <w:marTop w:val="0"/>
      <w:marBottom w:val="0"/>
      <w:divBdr>
        <w:top w:val="none" w:sz="0" w:space="0" w:color="auto"/>
        <w:left w:val="none" w:sz="0" w:space="0" w:color="auto"/>
        <w:bottom w:val="none" w:sz="0" w:space="0" w:color="auto"/>
        <w:right w:val="none" w:sz="0" w:space="0" w:color="auto"/>
      </w:divBdr>
    </w:div>
    <w:div w:id="747919161">
      <w:bodyDiv w:val="1"/>
      <w:marLeft w:val="0"/>
      <w:marRight w:val="0"/>
      <w:marTop w:val="0"/>
      <w:marBottom w:val="0"/>
      <w:divBdr>
        <w:top w:val="none" w:sz="0" w:space="0" w:color="auto"/>
        <w:left w:val="none" w:sz="0" w:space="0" w:color="auto"/>
        <w:bottom w:val="none" w:sz="0" w:space="0" w:color="auto"/>
        <w:right w:val="none" w:sz="0" w:space="0" w:color="auto"/>
      </w:divBdr>
      <w:divsChild>
        <w:div w:id="1579484082">
          <w:marLeft w:val="0"/>
          <w:marRight w:val="0"/>
          <w:marTop w:val="0"/>
          <w:marBottom w:val="0"/>
          <w:divBdr>
            <w:top w:val="none" w:sz="0" w:space="0" w:color="auto"/>
            <w:left w:val="none" w:sz="0" w:space="0" w:color="auto"/>
            <w:bottom w:val="none" w:sz="0" w:space="0" w:color="auto"/>
            <w:right w:val="none" w:sz="0" w:space="0" w:color="auto"/>
          </w:divBdr>
        </w:div>
        <w:div w:id="1560089711">
          <w:marLeft w:val="0"/>
          <w:marRight w:val="0"/>
          <w:marTop w:val="0"/>
          <w:marBottom w:val="0"/>
          <w:divBdr>
            <w:top w:val="none" w:sz="0" w:space="0" w:color="auto"/>
            <w:left w:val="none" w:sz="0" w:space="0" w:color="auto"/>
            <w:bottom w:val="none" w:sz="0" w:space="0" w:color="auto"/>
            <w:right w:val="none" w:sz="0" w:space="0" w:color="auto"/>
          </w:divBdr>
        </w:div>
        <w:div w:id="1869219468">
          <w:marLeft w:val="0"/>
          <w:marRight w:val="0"/>
          <w:marTop w:val="0"/>
          <w:marBottom w:val="0"/>
          <w:divBdr>
            <w:top w:val="none" w:sz="0" w:space="0" w:color="auto"/>
            <w:left w:val="none" w:sz="0" w:space="0" w:color="auto"/>
            <w:bottom w:val="none" w:sz="0" w:space="0" w:color="auto"/>
            <w:right w:val="none" w:sz="0" w:space="0" w:color="auto"/>
          </w:divBdr>
        </w:div>
        <w:div w:id="936863755">
          <w:marLeft w:val="0"/>
          <w:marRight w:val="0"/>
          <w:marTop w:val="0"/>
          <w:marBottom w:val="0"/>
          <w:divBdr>
            <w:top w:val="none" w:sz="0" w:space="0" w:color="auto"/>
            <w:left w:val="none" w:sz="0" w:space="0" w:color="auto"/>
            <w:bottom w:val="none" w:sz="0" w:space="0" w:color="auto"/>
            <w:right w:val="none" w:sz="0" w:space="0" w:color="auto"/>
          </w:divBdr>
        </w:div>
        <w:div w:id="649674324">
          <w:marLeft w:val="0"/>
          <w:marRight w:val="0"/>
          <w:marTop w:val="0"/>
          <w:marBottom w:val="0"/>
          <w:divBdr>
            <w:top w:val="none" w:sz="0" w:space="0" w:color="auto"/>
            <w:left w:val="none" w:sz="0" w:space="0" w:color="auto"/>
            <w:bottom w:val="none" w:sz="0" w:space="0" w:color="auto"/>
            <w:right w:val="none" w:sz="0" w:space="0" w:color="auto"/>
          </w:divBdr>
        </w:div>
      </w:divsChild>
    </w:div>
    <w:div w:id="928588127">
      <w:bodyDiv w:val="1"/>
      <w:marLeft w:val="0"/>
      <w:marRight w:val="0"/>
      <w:marTop w:val="0"/>
      <w:marBottom w:val="0"/>
      <w:divBdr>
        <w:top w:val="none" w:sz="0" w:space="0" w:color="auto"/>
        <w:left w:val="none" w:sz="0" w:space="0" w:color="auto"/>
        <w:bottom w:val="none" w:sz="0" w:space="0" w:color="auto"/>
        <w:right w:val="none" w:sz="0" w:space="0" w:color="auto"/>
      </w:divBdr>
    </w:div>
    <w:div w:id="1316452526">
      <w:bodyDiv w:val="1"/>
      <w:marLeft w:val="0"/>
      <w:marRight w:val="0"/>
      <w:marTop w:val="0"/>
      <w:marBottom w:val="0"/>
      <w:divBdr>
        <w:top w:val="none" w:sz="0" w:space="0" w:color="auto"/>
        <w:left w:val="none" w:sz="0" w:space="0" w:color="auto"/>
        <w:bottom w:val="none" w:sz="0" w:space="0" w:color="auto"/>
        <w:right w:val="none" w:sz="0" w:space="0" w:color="auto"/>
      </w:divBdr>
    </w:div>
    <w:div w:id="1319730446">
      <w:bodyDiv w:val="1"/>
      <w:marLeft w:val="0"/>
      <w:marRight w:val="0"/>
      <w:marTop w:val="0"/>
      <w:marBottom w:val="0"/>
      <w:divBdr>
        <w:top w:val="none" w:sz="0" w:space="0" w:color="auto"/>
        <w:left w:val="none" w:sz="0" w:space="0" w:color="auto"/>
        <w:bottom w:val="none" w:sz="0" w:space="0" w:color="auto"/>
        <w:right w:val="none" w:sz="0" w:space="0" w:color="auto"/>
      </w:divBdr>
    </w:div>
    <w:div w:id="1327367146">
      <w:bodyDiv w:val="1"/>
      <w:marLeft w:val="0"/>
      <w:marRight w:val="0"/>
      <w:marTop w:val="0"/>
      <w:marBottom w:val="0"/>
      <w:divBdr>
        <w:top w:val="none" w:sz="0" w:space="0" w:color="auto"/>
        <w:left w:val="none" w:sz="0" w:space="0" w:color="auto"/>
        <w:bottom w:val="none" w:sz="0" w:space="0" w:color="auto"/>
        <w:right w:val="none" w:sz="0" w:space="0" w:color="auto"/>
      </w:divBdr>
    </w:div>
    <w:div w:id="1516962579">
      <w:bodyDiv w:val="1"/>
      <w:marLeft w:val="0"/>
      <w:marRight w:val="0"/>
      <w:marTop w:val="0"/>
      <w:marBottom w:val="0"/>
      <w:divBdr>
        <w:top w:val="none" w:sz="0" w:space="0" w:color="auto"/>
        <w:left w:val="none" w:sz="0" w:space="0" w:color="auto"/>
        <w:bottom w:val="none" w:sz="0" w:space="0" w:color="auto"/>
        <w:right w:val="none" w:sz="0" w:space="0" w:color="auto"/>
      </w:divBdr>
    </w:div>
    <w:div w:id="1545868805">
      <w:bodyDiv w:val="1"/>
      <w:marLeft w:val="0"/>
      <w:marRight w:val="0"/>
      <w:marTop w:val="0"/>
      <w:marBottom w:val="0"/>
      <w:divBdr>
        <w:top w:val="none" w:sz="0" w:space="0" w:color="auto"/>
        <w:left w:val="none" w:sz="0" w:space="0" w:color="auto"/>
        <w:bottom w:val="none" w:sz="0" w:space="0" w:color="auto"/>
        <w:right w:val="none" w:sz="0" w:space="0" w:color="auto"/>
      </w:divBdr>
      <w:divsChild>
        <w:div w:id="233900775">
          <w:marLeft w:val="0"/>
          <w:marRight w:val="0"/>
          <w:marTop w:val="15"/>
          <w:marBottom w:val="0"/>
          <w:divBdr>
            <w:top w:val="single" w:sz="48" w:space="0" w:color="auto"/>
            <w:left w:val="single" w:sz="48" w:space="0" w:color="auto"/>
            <w:bottom w:val="single" w:sz="48" w:space="0" w:color="auto"/>
            <w:right w:val="single" w:sz="48" w:space="0" w:color="auto"/>
          </w:divBdr>
          <w:divsChild>
            <w:div w:id="878780865">
              <w:marLeft w:val="0"/>
              <w:marRight w:val="0"/>
              <w:marTop w:val="0"/>
              <w:marBottom w:val="0"/>
              <w:divBdr>
                <w:top w:val="none" w:sz="0" w:space="0" w:color="auto"/>
                <w:left w:val="none" w:sz="0" w:space="0" w:color="auto"/>
                <w:bottom w:val="none" w:sz="0" w:space="0" w:color="auto"/>
                <w:right w:val="none" w:sz="0" w:space="0" w:color="auto"/>
              </w:divBdr>
              <w:divsChild>
                <w:div w:id="322397880">
                  <w:marLeft w:val="0"/>
                  <w:marRight w:val="0"/>
                  <w:marTop w:val="0"/>
                  <w:marBottom w:val="0"/>
                  <w:divBdr>
                    <w:top w:val="none" w:sz="0" w:space="0" w:color="auto"/>
                    <w:left w:val="none" w:sz="0" w:space="0" w:color="auto"/>
                    <w:bottom w:val="none" w:sz="0" w:space="0" w:color="auto"/>
                    <w:right w:val="none" w:sz="0" w:space="0" w:color="auto"/>
                  </w:divBdr>
                </w:div>
                <w:div w:id="925653961">
                  <w:marLeft w:val="0"/>
                  <w:marRight w:val="0"/>
                  <w:marTop w:val="0"/>
                  <w:marBottom w:val="0"/>
                  <w:divBdr>
                    <w:top w:val="none" w:sz="0" w:space="0" w:color="auto"/>
                    <w:left w:val="none" w:sz="0" w:space="0" w:color="auto"/>
                    <w:bottom w:val="none" w:sz="0" w:space="0" w:color="auto"/>
                    <w:right w:val="none" w:sz="0" w:space="0" w:color="auto"/>
                  </w:divBdr>
                </w:div>
                <w:div w:id="1247034565">
                  <w:marLeft w:val="0"/>
                  <w:marRight w:val="0"/>
                  <w:marTop w:val="0"/>
                  <w:marBottom w:val="0"/>
                  <w:divBdr>
                    <w:top w:val="none" w:sz="0" w:space="0" w:color="auto"/>
                    <w:left w:val="none" w:sz="0" w:space="0" w:color="auto"/>
                    <w:bottom w:val="none" w:sz="0" w:space="0" w:color="auto"/>
                    <w:right w:val="none" w:sz="0" w:space="0" w:color="auto"/>
                  </w:divBdr>
                </w:div>
                <w:div w:id="1493176212">
                  <w:marLeft w:val="0"/>
                  <w:marRight w:val="0"/>
                  <w:marTop w:val="0"/>
                  <w:marBottom w:val="0"/>
                  <w:divBdr>
                    <w:top w:val="none" w:sz="0" w:space="0" w:color="auto"/>
                    <w:left w:val="none" w:sz="0" w:space="0" w:color="auto"/>
                    <w:bottom w:val="none" w:sz="0" w:space="0" w:color="auto"/>
                    <w:right w:val="none" w:sz="0" w:space="0" w:color="auto"/>
                  </w:divBdr>
                </w:div>
                <w:div w:id="612831618">
                  <w:marLeft w:val="0"/>
                  <w:marRight w:val="0"/>
                  <w:marTop w:val="0"/>
                  <w:marBottom w:val="0"/>
                  <w:divBdr>
                    <w:top w:val="none" w:sz="0" w:space="0" w:color="auto"/>
                    <w:left w:val="none" w:sz="0" w:space="0" w:color="auto"/>
                    <w:bottom w:val="none" w:sz="0" w:space="0" w:color="auto"/>
                    <w:right w:val="none" w:sz="0" w:space="0" w:color="auto"/>
                  </w:divBdr>
                </w:div>
                <w:div w:id="629097850">
                  <w:marLeft w:val="0"/>
                  <w:marRight w:val="0"/>
                  <w:marTop w:val="0"/>
                  <w:marBottom w:val="0"/>
                  <w:divBdr>
                    <w:top w:val="none" w:sz="0" w:space="0" w:color="auto"/>
                    <w:left w:val="none" w:sz="0" w:space="0" w:color="auto"/>
                    <w:bottom w:val="none" w:sz="0" w:space="0" w:color="auto"/>
                    <w:right w:val="none" w:sz="0" w:space="0" w:color="auto"/>
                  </w:divBdr>
                </w:div>
                <w:div w:id="2038308322">
                  <w:marLeft w:val="0"/>
                  <w:marRight w:val="0"/>
                  <w:marTop w:val="0"/>
                  <w:marBottom w:val="0"/>
                  <w:divBdr>
                    <w:top w:val="none" w:sz="0" w:space="0" w:color="auto"/>
                    <w:left w:val="none" w:sz="0" w:space="0" w:color="auto"/>
                    <w:bottom w:val="none" w:sz="0" w:space="0" w:color="auto"/>
                    <w:right w:val="none" w:sz="0" w:space="0" w:color="auto"/>
                  </w:divBdr>
                </w:div>
                <w:div w:id="1765762309">
                  <w:marLeft w:val="0"/>
                  <w:marRight w:val="0"/>
                  <w:marTop w:val="0"/>
                  <w:marBottom w:val="0"/>
                  <w:divBdr>
                    <w:top w:val="none" w:sz="0" w:space="0" w:color="auto"/>
                    <w:left w:val="none" w:sz="0" w:space="0" w:color="auto"/>
                    <w:bottom w:val="none" w:sz="0" w:space="0" w:color="auto"/>
                    <w:right w:val="none" w:sz="0" w:space="0" w:color="auto"/>
                  </w:divBdr>
                </w:div>
                <w:div w:id="337998082">
                  <w:marLeft w:val="0"/>
                  <w:marRight w:val="0"/>
                  <w:marTop w:val="0"/>
                  <w:marBottom w:val="0"/>
                  <w:divBdr>
                    <w:top w:val="none" w:sz="0" w:space="0" w:color="auto"/>
                    <w:left w:val="none" w:sz="0" w:space="0" w:color="auto"/>
                    <w:bottom w:val="none" w:sz="0" w:space="0" w:color="auto"/>
                    <w:right w:val="none" w:sz="0" w:space="0" w:color="auto"/>
                  </w:divBdr>
                </w:div>
                <w:div w:id="252905306">
                  <w:marLeft w:val="0"/>
                  <w:marRight w:val="0"/>
                  <w:marTop w:val="0"/>
                  <w:marBottom w:val="0"/>
                  <w:divBdr>
                    <w:top w:val="none" w:sz="0" w:space="0" w:color="auto"/>
                    <w:left w:val="none" w:sz="0" w:space="0" w:color="auto"/>
                    <w:bottom w:val="none" w:sz="0" w:space="0" w:color="auto"/>
                    <w:right w:val="none" w:sz="0" w:space="0" w:color="auto"/>
                  </w:divBdr>
                </w:div>
                <w:div w:id="103576565">
                  <w:marLeft w:val="0"/>
                  <w:marRight w:val="0"/>
                  <w:marTop w:val="0"/>
                  <w:marBottom w:val="0"/>
                  <w:divBdr>
                    <w:top w:val="none" w:sz="0" w:space="0" w:color="auto"/>
                    <w:left w:val="none" w:sz="0" w:space="0" w:color="auto"/>
                    <w:bottom w:val="none" w:sz="0" w:space="0" w:color="auto"/>
                    <w:right w:val="none" w:sz="0" w:space="0" w:color="auto"/>
                  </w:divBdr>
                </w:div>
                <w:div w:id="447549366">
                  <w:marLeft w:val="0"/>
                  <w:marRight w:val="0"/>
                  <w:marTop w:val="0"/>
                  <w:marBottom w:val="0"/>
                  <w:divBdr>
                    <w:top w:val="none" w:sz="0" w:space="0" w:color="auto"/>
                    <w:left w:val="none" w:sz="0" w:space="0" w:color="auto"/>
                    <w:bottom w:val="none" w:sz="0" w:space="0" w:color="auto"/>
                    <w:right w:val="none" w:sz="0" w:space="0" w:color="auto"/>
                  </w:divBdr>
                </w:div>
                <w:div w:id="1230917321">
                  <w:marLeft w:val="0"/>
                  <w:marRight w:val="0"/>
                  <w:marTop w:val="0"/>
                  <w:marBottom w:val="0"/>
                  <w:divBdr>
                    <w:top w:val="none" w:sz="0" w:space="0" w:color="auto"/>
                    <w:left w:val="none" w:sz="0" w:space="0" w:color="auto"/>
                    <w:bottom w:val="none" w:sz="0" w:space="0" w:color="auto"/>
                    <w:right w:val="none" w:sz="0" w:space="0" w:color="auto"/>
                  </w:divBdr>
                </w:div>
                <w:div w:id="275255668">
                  <w:marLeft w:val="0"/>
                  <w:marRight w:val="0"/>
                  <w:marTop w:val="0"/>
                  <w:marBottom w:val="0"/>
                  <w:divBdr>
                    <w:top w:val="none" w:sz="0" w:space="0" w:color="auto"/>
                    <w:left w:val="none" w:sz="0" w:space="0" w:color="auto"/>
                    <w:bottom w:val="none" w:sz="0" w:space="0" w:color="auto"/>
                    <w:right w:val="none" w:sz="0" w:space="0" w:color="auto"/>
                  </w:divBdr>
                </w:div>
                <w:div w:id="260262556">
                  <w:marLeft w:val="0"/>
                  <w:marRight w:val="0"/>
                  <w:marTop w:val="0"/>
                  <w:marBottom w:val="0"/>
                  <w:divBdr>
                    <w:top w:val="none" w:sz="0" w:space="0" w:color="auto"/>
                    <w:left w:val="none" w:sz="0" w:space="0" w:color="auto"/>
                    <w:bottom w:val="none" w:sz="0" w:space="0" w:color="auto"/>
                    <w:right w:val="none" w:sz="0" w:space="0" w:color="auto"/>
                  </w:divBdr>
                </w:div>
                <w:div w:id="1940791190">
                  <w:marLeft w:val="0"/>
                  <w:marRight w:val="0"/>
                  <w:marTop w:val="0"/>
                  <w:marBottom w:val="0"/>
                  <w:divBdr>
                    <w:top w:val="none" w:sz="0" w:space="0" w:color="auto"/>
                    <w:left w:val="none" w:sz="0" w:space="0" w:color="auto"/>
                    <w:bottom w:val="none" w:sz="0" w:space="0" w:color="auto"/>
                    <w:right w:val="none" w:sz="0" w:space="0" w:color="auto"/>
                  </w:divBdr>
                </w:div>
                <w:div w:id="1011838133">
                  <w:marLeft w:val="0"/>
                  <w:marRight w:val="0"/>
                  <w:marTop w:val="0"/>
                  <w:marBottom w:val="0"/>
                  <w:divBdr>
                    <w:top w:val="none" w:sz="0" w:space="0" w:color="auto"/>
                    <w:left w:val="none" w:sz="0" w:space="0" w:color="auto"/>
                    <w:bottom w:val="none" w:sz="0" w:space="0" w:color="auto"/>
                    <w:right w:val="none" w:sz="0" w:space="0" w:color="auto"/>
                  </w:divBdr>
                </w:div>
                <w:div w:id="1989549088">
                  <w:marLeft w:val="0"/>
                  <w:marRight w:val="0"/>
                  <w:marTop w:val="0"/>
                  <w:marBottom w:val="0"/>
                  <w:divBdr>
                    <w:top w:val="none" w:sz="0" w:space="0" w:color="auto"/>
                    <w:left w:val="none" w:sz="0" w:space="0" w:color="auto"/>
                    <w:bottom w:val="none" w:sz="0" w:space="0" w:color="auto"/>
                    <w:right w:val="none" w:sz="0" w:space="0" w:color="auto"/>
                  </w:divBdr>
                </w:div>
                <w:div w:id="437532927">
                  <w:marLeft w:val="0"/>
                  <w:marRight w:val="0"/>
                  <w:marTop w:val="0"/>
                  <w:marBottom w:val="0"/>
                  <w:divBdr>
                    <w:top w:val="none" w:sz="0" w:space="0" w:color="auto"/>
                    <w:left w:val="none" w:sz="0" w:space="0" w:color="auto"/>
                    <w:bottom w:val="none" w:sz="0" w:space="0" w:color="auto"/>
                    <w:right w:val="none" w:sz="0" w:space="0" w:color="auto"/>
                  </w:divBdr>
                </w:div>
                <w:div w:id="436562420">
                  <w:marLeft w:val="0"/>
                  <w:marRight w:val="0"/>
                  <w:marTop w:val="0"/>
                  <w:marBottom w:val="0"/>
                  <w:divBdr>
                    <w:top w:val="none" w:sz="0" w:space="0" w:color="auto"/>
                    <w:left w:val="none" w:sz="0" w:space="0" w:color="auto"/>
                    <w:bottom w:val="none" w:sz="0" w:space="0" w:color="auto"/>
                    <w:right w:val="none" w:sz="0" w:space="0" w:color="auto"/>
                  </w:divBdr>
                </w:div>
                <w:div w:id="1850176503">
                  <w:marLeft w:val="0"/>
                  <w:marRight w:val="0"/>
                  <w:marTop w:val="0"/>
                  <w:marBottom w:val="0"/>
                  <w:divBdr>
                    <w:top w:val="none" w:sz="0" w:space="0" w:color="auto"/>
                    <w:left w:val="none" w:sz="0" w:space="0" w:color="auto"/>
                    <w:bottom w:val="none" w:sz="0" w:space="0" w:color="auto"/>
                    <w:right w:val="none" w:sz="0" w:space="0" w:color="auto"/>
                  </w:divBdr>
                </w:div>
                <w:div w:id="1922792169">
                  <w:marLeft w:val="0"/>
                  <w:marRight w:val="0"/>
                  <w:marTop w:val="0"/>
                  <w:marBottom w:val="0"/>
                  <w:divBdr>
                    <w:top w:val="none" w:sz="0" w:space="0" w:color="auto"/>
                    <w:left w:val="none" w:sz="0" w:space="0" w:color="auto"/>
                    <w:bottom w:val="none" w:sz="0" w:space="0" w:color="auto"/>
                    <w:right w:val="none" w:sz="0" w:space="0" w:color="auto"/>
                  </w:divBdr>
                </w:div>
                <w:div w:id="1787387158">
                  <w:marLeft w:val="0"/>
                  <w:marRight w:val="0"/>
                  <w:marTop w:val="0"/>
                  <w:marBottom w:val="0"/>
                  <w:divBdr>
                    <w:top w:val="none" w:sz="0" w:space="0" w:color="auto"/>
                    <w:left w:val="none" w:sz="0" w:space="0" w:color="auto"/>
                    <w:bottom w:val="none" w:sz="0" w:space="0" w:color="auto"/>
                    <w:right w:val="none" w:sz="0" w:space="0" w:color="auto"/>
                  </w:divBdr>
                </w:div>
                <w:div w:id="1196190080">
                  <w:marLeft w:val="0"/>
                  <w:marRight w:val="0"/>
                  <w:marTop w:val="0"/>
                  <w:marBottom w:val="0"/>
                  <w:divBdr>
                    <w:top w:val="none" w:sz="0" w:space="0" w:color="auto"/>
                    <w:left w:val="none" w:sz="0" w:space="0" w:color="auto"/>
                    <w:bottom w:val="none" w:sz="0" w:space="0" w:color="auto"/>
                    <w:right w:val="none" w:sz="0" w:space="0" w:color="auto"/>
                  </w:divBdr>
                </w:div>
                <w:div w:id="205035">
                  <w:marLeft w:val="0"/>
                  <w:marRight w:val="0"/>
                  <w:marTop w:val="0"/>
                  <w:marBottom w:val="0"/>
                  <w:divBdr>
                    <w:top w:val="none" w:sz="0" w:space="0" w:color="auto"/>
                    <w:left w:val="none" w:sz="0" w:space="0" w:color="auto"/>
                    <w:bottom w:val="none" w:sz="0" w:space="0" w:color="auto"/>
                    <w:right w:val="none" w:sz="0" w:space="0" w:color="auto"/>
                  </w:divBdr>
                </w:div>
                <w:div w:id="1561794590">
                  <w:marLeft w:val="0"/>
                  <w:marRight w:val="0"/>
                  <w:marTop w:val="0"/>
                  <w:marBottom w:val="0"/>
                  <w:divBdr>
                    <w:top w:val="none" w:sz="0" w:space="0" w:color="auto"/>
                    <w:left w:val="none" w:sz="0" w:space="0" w:color="auto"/>
                    <w:bottom w:val="none" w:sz="0" w:space="0" w:color="auto"/>
                    <w:right w:val="none" w:sz="0" w:space="0" w:color="auto"/>
                  </w:divBdr>
                </w:div>
                <w:div w:id="1372223532">
                  <w:marLeft w:val="0"/>
                  <w:marRight w:val="0"/>
                  <w:marTop w:val="0"/>
                  <w:marBottom w:val="0"/>
                  <w:divBdr>
                    <w:top w:val="none" w:sz="0" w:space="0" w:color="auto"/>
                    <w:left w:val="none" w:sz="0" w:space="0" w:color="auto"/>
                    <w:bottom w:val="none" w:sz="0" w:space="0" w:color="auto"/>
                    <w:right w:val="none" w:sz="0" w:space="0" w:color="auto"/>
                  </w:divBdr>
                </w:div>
                <w:div w:id="1310864366">
                  <w:marLeft w:val="0"/>
                  <w:marRight w:val="0"/>
                  <w:marTop w:val="0"/>
                  <w:marBottom w:val="0"/>
                  <w:divBdr>
                    <w:top w:val="none" w:sz="0" w:space="0" w:color="auto"/>
                    <w:left w:val="none" w:sz="0" w:space="0" w:color="auto"/>
                    <w:bottom w:val="none" w:sz="0" w:space="0" w:color="auto"/>
                    <w:right w:val="none" w:sz="0" w:space="0" w:color="auto"/>
                  </w:divBdr>
                </w:div>
                <w:div w:id="1515420114">
                  <w:marLeft w:val="0"/>
                  <w:marRight w:val="0"/>
                  <w:marTop w:val="0"/>
                  <w:marBottom w:val="0"/>
                  <w:divBdr>
                    <w:top w:val="none" w:sz="0" w:space="0" w:color="auto"/>
                    <w:left w:val="none" w:sz="0" w:space="0" w:color="auto"/>
                    <w:bottom w:val="none" w:sz="0" w:space="0" w:color="auto"/>
                    <w:right w:val="none" w:sz="0" w:space="0" w:color="auto"/>
                  </w:divBdr>
                </w:div>
                <w:div w:id="713391711">
                  <w:marLeft w:val="0"/>
                  <w:marRight w:val="0"/>
                  <w:marTop w:val="0"/>
                  <w:marBottom w:val="0"/>
                  <w:divBdr>
                    <w:top w:val="none" w:sz="0" w:space="0" w:color="auto"/>
                    <w:left w:val="none" w:sz="0" w:space="0" w:color="auto"/>
                    <w:bottom w:val="none" w:sz="0" w:space="0" w:color="auto"/>
                    <w:right w:val="none" w:sz="0" w:space="0" w:color="auto"/>
                  </w:divBdr>
                </w:div>
                <w:div w:id="9683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47459">
      <w:bodyDiv w:val="1"/>
      <w:marLeft w:val="0"/>
      <w:marRight w:val="0"/>
      <w:marTop w:val="0"/>
      <w:marBottom w:val="0"/>
      <w:divBdr>
        <w:top w:val="none" w:sz="0" w:space="0" w:color="auto"/>
        <w:left w:val="none" w:sz="0" w:space="0" w:color="auto"/>
        <w:bottom w:val="none" w:sz="0" w:space="0" w:color="auto"/>
        <w:right w:val="none" w:sz="0" w:space="0" w:color="auto"/>
      </w:divBdr>
      <w:divsChild>
        <w:div w:id="1667588316">
          <w:marLeft w:val="0"/>
          <w:marRight w:val="0"/>
          <w:marTop w:val="15"/>
          <w:marBottom w:val="0"/>
          <w:divBdr>
            <w:top w:val="single" w:sz="48" w:space="0" w:color="auto"/>
            <w:left w:val="single" w:sz="48" w:space="0" w:color="auto"/>
            <w:bottom w:val="single" w:sz="48" w:space="0" w:color="auto"/>
            <w:right w:val="single" w:sz="48" w:space="0" w:color="auto"/>
          </w:divBdr>
          <w:divsChild>
            <w:div w:id="266499093">
              <w:marLeft w:val="0"/>
              <w:marRight w:val="0"/>
              <w:marTop w:val="0"/>
              <w:marBottom w:val="0"/>
              <w:divBdr>
                <w:top w:val="none" w:sz="0" w:space="0" w:color="auto"/>
                <w:left w:val="none" w:sz="0" w:space="0" w:color="auto"/>
                <w:bottom w:val="none" w:sz="0" w:space="0" w:color="auto"/>
                <w:right w:val="none" w:sz="0" w:space="0" w:color="auto"/>
              </w:divBdr>
              <w:divsChild>
                <w:div w:id="1110274361">
                  <w:marLeft w:val="0"/>
                  <w:marRight w:val="0"/>
                  <w:marTop w:val="0"/>
                  <w:marBottom w:val="0"/>
                  <w:divBdr>
                    <w:top w:val="none" w:sz="0" w:space="0" w:color="auto"/>
                    <w:left w:val="none" w:sz="0" w:space="0" w:color="auto"/>
                    <w:bottom w:val="none" w:sz="0" w:space="0" w:color="auto"/>
                    <w:right w:val="none" w:sz="0" w:space="0" w:color="auto"/>
                  </w:divBdr>
                </w:div>
                <w:div w:id="999582782">
                  <w:marLeft w:val="0"/>
                  <w:marRight w:val="0"/>
                  <w:marTop w:val="0"/>
                  <w:marBottom w:val="0"/>
                  <w:divBdr>
                    <w:top w:val="none" w:sz="0" w:space="0" w:color="auto"/>
                    <w:left w:val="none" w:sz="0" w:space="0" w:color="auto"/>
                    <w:bottom w:val="none" w:sz="0" w:space="0" w:color="auto"/>
                    <w:right w:val="none" w:sz="0" w:space="0" w:color="auto"/>
                  </w:divBdr>
                </w:div>
                <w:div w:id="696539189">
                  <w:marLeft w:val="0"/>
                  <w:marRight w:val="0"/>
                  <w:marTop w:val="0"/>
                  <w:marBottom w:val="0"/>
                  <w:divBdr>
                    <w:top w:val="none" w:sz="0" w:space="0" w:color="auto"/>
                    <w:left w:val="none" w:sz="0" w:space="0" w:color="auto"/>
                    <w:bottom w:val="none" w:sz="0" w:space="0" w:color="auto"/>
                    <w:right w:val="none" w:sz="0" w:space="0" w:color="auto"/>
                  </w:divBdr>
                </w:div>
                <w:div w:id="271976543">
                  <w:marLeft w:val="0"/>
                  <w:marRight w:val="0"/>
                  <w:marTop w:val="0"/>
                  <w:marBottom w:val="0"/>
                  <w:divBdr>
                    <w:top w:val="none" w:sz="0" w:space="0" w:color="auto"/>
                    <w:left w:val="none" w:sz="0" w:space="0" w:color="auto"/>
                    <w:bottom w:val="none" w:sz="0" w:space="0" w:color="auto"/>
                    <w:right w:val="none" w:sz="0" w:space="0" w:color="auto"/>
                  </w:divBdr>
                </w:div>
                <w:div w:id="839614186">
                  <w:marLeft w:val="0"/>
                  <w:marRight w:val="0"/>
                  <w:marTop w:val="0"/>
                  <w:marBottom w:val="0"/>
                  <w:divBdr>
                    <w:top w:val="none" w:sz="0" w:space="0" w:color="auto"/>
                    <w:left w:val="none" w:sz="0" w:space="0" w:color="auto"/>
                    <w:bottom w:val="none" w:sz="0" w:space="0" w:color="auto"/>
                    <w:right w:val="none" w:sz="0" w:space="0" w:color="auto"/>
                  </w:divBdr>
                </w:div>
                <w:div w:id="2083258879">
                  <w:marLeft w:val="0"/>
                  <w:marRight w:val="0"/>
                  <w:marTop w:val="0"/>
                  <w:marBottom w:val="0"/>
                  <w:divBdr>
                    <w:top w:val="none" w:sz="0" w:space="0" w:color="auto"/>
                    <w:left w:val="none" w:sz="0" w:space="0" w:color="auto"/>
                    <w:bottom w:val="none" w:sz="0" w:space="0" w:color="auto"/>
                    <w:right w:val="none" w:sz="0" w:space="0" w:color="auto"/>
                  </w:divBdr>
                </w:div>
                <w:div w:id="541286957">
                  <w:marLeft w:val="0"/>
                  <w:marRight w:val="0"/>
                  <w:marTop w:val="0"/>
                  <w:marBottom w:val="0"/>
                  <w:divBdr>
                    <w:top w:val="none" w:sz="0" w:space="0" w:color="auto"/>
                    <w:left w:val="none" w:sz="0" w:space="0" w:color="auto"/>
                    <w:bottom w:val="none" w:sz="0" w:space="0" w:color="auto"/>
                    <w:right w:val="none" w:sz="0" w:space="0" w:color="auto"/>
                  </w:divBdr>
                </w:div>
                <w:div w:id="57870963">
                  <w:marLeft w:val="0"/>
                  <w:marRight w:val="0"/>
                  <w:marTop w:val="0"/>
                  <w:marBottom w:val="0"/>
                  <w:divBdr>
                    <w:top w:val="none" w:sz="0" w:space="0" w:color="auto"/>
                    <w:left w:val="none" w:sz="0" w:space="0" w:color="auto"/>
                    <w:bottom w:val="none" w:sz="0" w:space="0" w:color="auto"/>
                    <w:right w:val="none" w:sz="0" w:space="0" w:color="auto"/>
                  </w:divBdr>
                </w:div>
                <w:div w:id="1760327889">
                  <w:marLeft w:val="0"/>
                  <w:marRight w:val="0"/>
                  <w:marTop w:val="0"/>
                  <w:marBottom w:val="0"/>
                  <w:divBdr>
                    <w:top w:val="none" w:sz="0" w:space="0" w:color="auto"/>
                    <w:left w:val="none" w:sz="0" w:space="0" w:color="auto"/>
                    <w:bottom w:val="none" w:sz="0" w:space="0" w:color="auto"/>
                    <w:right w:val="none" w:sz="0" w:space="0" w:color="auto"/>
                  </w:divBdr>
                </w:div>
                <w:div w:id="385877106">
                  <w:marLeft w:val="0"/>
                  <w:marRight w:val="0"/>
                  <w:marTop w:val="0"/>
                  <w:marBottom w:val="0"/>
                  <w:divBdr>
                    <w:top w:val="none" w:sz="0" w:space="0" w:color="auto"/>
                    <w:left w:val="none" w:sz="0" w:space="0" w:color="auto"/>
                    <w:bottom w:val="none" w:sz="0" w:space="0" w:color="auto"/>
                    <w:right w:val="none" w:sz="0" w:space="0" w:color="auto"/>
                  </w:divBdr>
                </w:div>
                <w:div w:id="31199646">
                  <w:marLeft w:val="0"/>
                  <w:marRight w:val="0"/>
                  <w:marTop w:val="0"/>
                  <w:marBottom w:val="0"/>
                  <w:divBdr>
                    <w:top w:val="none" w:sz="0" w:space="0" w:color="auto"/>
                    <w:left w:val="none" w:sz="0" w:space="0" w:color="auto"/>
                    <w:bottom w:val="none" w:sz="0" w:space="0" w:color="auto"/>
                    <w:right w:val="none" w:sz="0" w:space="0" w:color="auto"/>
                  </w:divBdr>
                </w:div>
                <w:div w:id="1530684184">
                  <w:marLeft w:val="0"/>
                  <w:marRight w:val="0"/>
                  <w:marTop w:val="0"/>
                  <w:marBottom w:val="0"/>
                  <w:divBdr>
                    <w:top w:val="none" w:sz="0" w:space="0" w:color="auto"/>
                    <w:left w:val="none" w:sz="0" w:space="0" w:color="auto"/>
                    <w:bottom w:val="none" w:sz="0" w:space="0" w:color="auto"/>
                    <w:right w:val="none" w:sz="0" w:space="0" w:color="auto"/>
                  </w:divBdr>
                </w:div>
                <w:div w:id="1082289373">
                  <w:marLeft w:val="0"/>
                  <w:marRight w:val="0"/>
                  <w:marTop w:val="0"/>
                  <w:marBottom w:val="0"/>
                  <w:divBdr>
                    <w:top w:val="none" w:sz="0" w:space="0" w:color="auto"/>
                    <w:left w:val="none" w:sz="0" w:space="0" w:color="auto"/>
                    <w:bottom w:val="none" w:sz="0" w:space="0" w:color="auto"/>
                    <w:right w:val="none" w:sz="0" w:space="0" w:color="auto"/>
                  </w:divBdr>
                </w:div>
                <w:div w:id="260454894">
                  <w:marLeft w:val="0"/>
                  <w:marRight w:val="0"/>
                  <w:marTop w:val="0"/>
                  <w:marBottom w:val="0"/>
                  <w:divBdr>
                    <w:top w:val="none" w:sz="0" w:space="0" w:color="auto"/>
                    <w:left w:val="none" w:sz="0" w:space="0" w:color="auto"/>
                    <w:bottom w:val="none" w:sz="0" w:space="0" w:color="auto"/>
                    <w:right w:val="none" w:sz="0" w:space="0" w:color="auto"/>
                  </w:divBdr>
                </w:div>
                <w:div w:id="1731537149">
                  <w:marLeft w:val="0"/>
                  <w:marRight w:val="0"/>
                  <w:marTop w:val="0"/>
                  <w:marBottom w:val="0"/>
                  <w:divBdr>
                    <w:top w:val="none" w:sz="0" w:space="0" w:color="auto"/>
                    <w:left w:val="none" w:sz="0" w:space="0" w:color="auto"/>
                    <w:bottom w:val="none" w:sz="0" w:space="0" w:color="auto"/>
                    <w:right w:val="none" w:sz="0" w:space="0" w:color="auto"/>
                  </w:divBdr>
                </w:div>
                <w:div w:id="1960405696">
                  <w:marLeft w:val="0"/>
                  <w:marRight w:val="0"/>
                  <w:marTop w:val="0"/>
                  <w:marBottom w:val="0"/>
                  <w:divBdr>
                    <w:top w:val="none" w:sz="0" w:space="0" w:color="auto"/>
                    <w:left w:val="none" w:sz="0" w:space="0" w:color="auto"/>
                    <w:bottom w:val="none" w:sz="0" w:space="0" w:color="auto"/>
                    <w:right w:val="none" w:sz="0" w:space="0" w:color="auto"/>
                  </w:divBdr>
                </w:div>
                <w:div w:id="1855921046">
                  <w:marLeft w:val="0"/>
                  <w:marRight w:val="0"/>
                  <w:marTop w:val="0"/>
                  <w:marBottom w:val="0"/>
                  <w:divBdr>
                    <w:top w:val="none" w:sz="0" w:space="0" w:color="auto"/>
                    <w:left w:val="none" w:sz="0" w:space="0" w:color="auto"/>
                    <w:bottom w:val="none" w:sz="0" w:space="0" w:color="auto"/>
                    <w:right w:val="none" w:sz="0" w:space="0" w:color="auto"/>
                  </w:divBdr>
                </w:div>
                <w:div w:id="1549565571">
                  <w:marLeft w:val="0"/>
                  <w:marRight w:val="0"/>
                  <w:marTop w:val="0"/>
                  <w:marBottom w:val="0"/>
                  <w:divBdr>
                    <w:top w:val="none" w:sz="0" w:space="0" w:color="auto"/>
                    <w:left w:val="none" w:sz="0" w:space="0" w:color="auto"/>
                    <w:bottom w:val="none" w:sz="0" w:space="0" w:color="auto"/>
                    <w:right w:val="none" w:sz="0" w:space="0" w:color="auto"/>
                  </w:divBdr>
                </w:div>
                <w:div w:id="367147138">
                  <w:marLeft w:val="0"/>
                  <w:marRight w:val="0"/>
                  <w:marTop w:val="0"/>
                  <w:marBottom w:val="0"/>
                  <w:divBdr>
                    <w:top w:val="none" w:sz="0" w:space="0" w:color="auto"/>
                    <w:left w:val="none" w:sz="0" w:space="0" w:color="auto"/>
                    <w:bottom w:val="none" w:sz="0" w:space="0" w:color="auto"/>
                    <w:right w:val="none" w:sz="0" w:space="0" w:color="auto"/>
                  </w:divBdr>
                </w:div>
                <w:div w:id="1685671466">
                  <w:marLeft w:val="0"/>
                  <w:marRight w:val="0"/>
                  <w:marTop w:val="0"/>
                  <w:marBottom w:val="0"/>
                  <w:divBdr>
                    <w:top w:val="none" w:sz="0" w:space="0" w:color="auto"/>
                    <w:left w:val="none" w:sz="0" w:space="0" w:color="auto"/>
                    <w:bottom w:val="none" w:sz="0" w:space="0" w:color="auto"/>
                    <w:right w:val="none" w:sz="0" w:space="0" w:color="auto"/>
                  </w:divBdr>
                </w:div>
                <w:div w:id="1001860714">
                  <w:marLeft w:val="0"/>
                  <w:marRight w:val="0"/>
                  <w:marTop w:val="0"/>
                  <w:marBottom w:val="0"/>
                  <w:divBdr>
                    <w:top w:val="none" w:sz="0" w:space="0" w:color="auto"/>
                    <w:left w:val="none" w:sz="0" w:space="0" w:color="auto"/>
                    <w:bottom w:val="none" w:sz="0" w:space="0" w:color="auto"/>
                    <w:right w:val="none" w:sz="0" w:space="0" w:color="auto"/>
                  </w:divBdr>
                </w:div>
                <w:div w:id="913203435">
                  <w:marLeft w:val="0"/>
                  <w:marRight w:val="0"/>
                  <w:marTop w:val="0"/>
                  <w:marBottom w:val="0"/>
                  <w:divBdr>
                    <w:top w:val="none" w:sz="0" w:space="0" w:color="auto"/>
                    <w:left w:val="none" w:sz="0" w:space="0" w:color="auto"/>
                    <w:bottom w:val="none" w:sz="0" w:space="0" w:color="auto"/>
                    <w:right w:val="none" w:sz="0" w:space="0" w:color="auto"/>
                  </w:divBdr>
                </w:div>
                <w:div w:id="1107120372">
                  <w:marLeft w:val="0"/>
                  <w:marRight w:val="0"/>
                  <w:marTop w:val="0"/>
                  <w:marBottom w:val="0"/>
                  <w:divBdr>
                    <w:top w:val="none" w:sz="0" w:space="0" w:color="auto"/>
                    <w:left w:val="none" w:sz="0" w:space="0" w:color="auto"/>
                    <w:bottom w:val="none" w:sz="0" w:space="0" w:color="auto"/>
                    <w:right w:val="none" w:sz="0" w:space="0" w:color="auto"/>
                  </w:divBdr>
                </w:div>
                <w:div w:id="1343972783">
                  <w:marLeft w:val="0"/>
                  <w:marRight w:val="0"/>
                  <w:marTop w:val="0"/>
                  <w:marBottom w:val="0"/>
                  <w:divBdr>
                    <w:top w:val="none" w:sz="0" w:space="0" w:color="auto"/>
                    <w:left w:val="none" w:sz="0" w:space="0" w:color="auto"/>
                    <w:bottom w:val="none" w:sz="0" w:space="0" w:color="auto"/>
                    <w:right w:val="none" w:sz="0" w:space="0" w:color="auto"/>
                  </w:divBdr>
                </w:div>
                <w:div w:id="306516163">
                  <w:marLeft w:val="0"/>
                  <w:marRight w:val="0"/>
                  <w:marTop w:val="0"/>
                  <w:marBottom w:val="0"/>
                  <w:divBdr>
                    <w:top w:val="none" w:sz="0" w:space="0" w:color="auto"/>
                    <w:left w:val="none" w:sz="0" w:space="0" w:color="auto"/>
                    <w:bottom w:val="none" w:sz="0" w:space="0" w:color="auto"/>
                    <w:right w:val="none" w:sz="0" w:space="0" w:color="auto"/>
                  </w:divBdr>
                </w:div>
                <w:div w:id="127361973">
                  <w:marLeft w:val="0"/>
                  <w:marRight w:val="0"/>
                  <w:marTop w:val="0"/>
                  <w:marBottom w:val="0"/>
                  <w:divBdr>
                    <w:top w:val="none" w:sz="0" w:space="0" w:color="auto"/>
                    <w:left w:val="none" w:sz="0" w:space="0" w:color="auto"/>
                    <w:bottom w:val="none" w:sz="0" w:space="0" w:color="auto"/>
                    <w:right w:val="none" w:sz="0" w:space="0" w:color="auto"/>
                  </w:divBdr>
                </w:div>
                <w:div w:id="1175420841">
                  <w:marLeft w:val="0"/>
                  <w:marRight w:val="0"/>
                  <w:marTop w:val="0"/>
                  <w:marBottom w:val="0"/>
                  <w:divBdr>
                    <w:top w:val="none" w:sz="0" w:space="0" w:color="auto"/>
                    <w:left w:val="none" w:sz="0" w:space="0" w:color="auto"/>
                    <w:bottom w:val="none" w:sz="0" w:space="0" w:color="auto"/>
                    <w:right w:val="none" w:sz="0" w:space="0" w:color="auto"/>
                  </w:divBdr>
                </w:div>
                <w:div w:id="917137621">
                  <w:marLeft w:val="0"/>
                  <w:marRight w:val="0"/>
                  <w:marTop w:val="0"/>
                  <w:marBottom w:val="0"/>
                  <w:divBdr>
                    <w:top w:val="none" w:sz="0" w:space="0" w:color="auto"/>
                    <w:left w:val="none" w:sz="0" w:space="0" w:color="auto"/>
                    <w:bottom w:val="none" w:sz="0" w:space="0" w:color="auto"/>
                    <w:right w:val="none" w:sz="0" w:space="0" w:color="auto"/>
                  </w:divBdr>
                </w:div>
                <w:div w:id="1813794002">
                  <w:marLeft w:val="0"/>
                  <w:marRight w:val="0"/>
                  <w:marTop w:val="0"/>
                  <w:marBottom w:val="0"/>
                  <w:divBdr>
                    <w:top w:val="none" w:sz="0" w:space="0" w:color="auto"/>
                    <w:left w:val="none" w:sz="0" w:space="0" w:color="auto"/>
                    <w:bottom w:val="none" w:sz="0" w:space="0" w:color="auto"/>
                    <w:right w:val="none" w:sz="0" w:space="0" w:color="auto"/>
                  </w:divBdr>
                </w:div>
                <w:div w:id="848371984">
                  <w:marLeft w:val="0"/>
                  <w:marRight w:val="0"/>
                  <w:marTop w:val="0"/>
                  <w:marBottom w:val="0"/>
                  <w:divBdr>
                    <w:top w:val="none" w:sz="0" w:space="0" w:color="auto"/>
                    <w:left w:val="none" w:sz="0" w:space="0" w:color="auto"/>
                    <w:bottom w:val="none" w:sz="0" w:space="0" w:color="auto"/>
                    <w:right w:val="none" w:sz="0" w:space="0" w:color="auto"/>
                  </w:divBdr>
                </w:div>
                <w:div w:id="1912692799">
                  <w:marLeft w:val="0"/>
                  <w:marRight w:val="0"/>
                  <w:marTop w:val="0"/>
                  <w:marBottom w:val="0"/>
                  <w:divBdr>
                    <w:top w:val="none" w:sz="0" w:space="0" w:color="auto"/>
                    <w:left w:val="none" w:sz="0" w:space="0" w:color="auto"/>
                    <w:bottom w:val="none" w:sz="0" w:space="0" w:color="auto"/>
                    <w:right w:val="none" w:sz="0" w:space="0" w:color="auto"/>
                  </w:divBdr>
                </w:div>
                <w:div w:id="2041008534">
                  <w:marLeft w:val="0"/>
                  <w:marRight w:val="0"/>
                  <w:marTop w:val="0"/>
                  <w:marBottom w:val="0"/>
                  <w:divBdr>
                    <w:top w:val="none" w:sz="0" w:space="0" w:color="auto"/>
                    <w:left w:val="none" w:sz="0" w:space="0" w:color="auto"/>
                    <w:bottom w:val="none" w:sz="0" w:space="0" w:color="auto"/>
                    <w:right w:val="none" w:sz="0" w:space="0" w:color="auto"/>
                  </w:divBdr>
                </w:div>
                <w:div w:id="361059818">
                  <w:marLeft w:val="0"/>
                  <w:marRight w:val="0"/>
                  <w:marTop w:val="0"/>
                  <w:marBottom w:val="0"/>
                  <w:divBdr>
                    <w:top w:val="none" w:sz="0" w:space="0" w:color="auto"/>
                    <w:left w:val="none" w:sz="0" w:space="0" w:color="auto"/>
                    <w:bottom w:val="none" w:sz="0" w:space="0" w:color="auto"/>
                    <w:right w:val="none" w:sz="0" w:space="0" w:color="auto"/>
                  </w:divBdr>
                </w:div>
                <w:div w:id="70080172">
                  <w:marLeft w:val="0"/>
                  <w:marRight w:val="0"/>
                  <w:marTop w:val="0"/>
                  <w:marBottom w:val="0"/>
                  <w:divBdr>
                    <w:top w:val="none" w:sz="0" w:space="0" w:color="auto"/>
                    <w:left w:val="none" w:sz="0" w:space="0" w:color="auto"/>
                    <w:bottom w:val="none" w:sz="0" w:space="0" w:color="auto"/>
                    <w:right w:val="none" w:sz="0" w:space="0" w:color="auto"/>
                  </w:divBdr>
                </w:div>
                <w:div w:id="438334523">
                  <w:marLeft w:val="0"/>
                  <w:marRight w:val="0"/>
                  <w:marTop w:val="0"/>
                  <w:marBottom w:val="0"/>
                  <w:divBdr>
                    <w:top w:val="none" w:sz="0" w:space="0" w:color="auto"/>
                    <w:left w:val="none" w:sz="0" w:space="0" w:color="auto"/>
                    <w:bottom w:val="none" w:sz="0" w:space="0" w:color="auto"/>
                    <w:right w:val="none" w:sz="0" w:space="0" w:color="auto"/>
                  </w:divBdr>
                </w:div>
                <w:div w:id="619609263">
                  <w:marLeft w:val="0"/>
                  <w:marRight w:val="0"/>
                  <w:marTop w:val="0"/>
                  <w:marBottom w:val="0"/>
                  <w:divBdr>
                    <w:top w:val="none" w:sz="0" w:space="0" w:color="auto"/>
                    <w:left w:val="none" w:sz="0" w:space="0" w:color="auto"/>
                    <w:bottom w:val="none" w:sz="0" w:space="0" w:color="auto"/>
                    <w:right w:val="none" w:sz="0" w:space="0" w:color="auto"/>
                  </w:divBdr>
                </w:div>
                <w:div w:id="1975020141">
                  <w:marLeft w:val="0"/>
                  <w:marRight w:val="0"/>
                  <w:marTop w:val="0"/>
                  <w:marBottom w:val="0"/>
                  <w:divBdr>
                    <w:top w:val="none" w:sz="0" w:space="0" w:color="auto"/>
                    <w:left w:val="none" w:sz="0" w:space="0" w:color="auto"/>
                    <w:bottom w:val="none" w:sz="0" w:space="0" w:color="auto"/>
                    <w:right w:val="none" w:sz="0" w:space="0" w:color="auto"/>
                  </w:divBdr>
                </w:div>
                <w:div w:id="1881505547">
                  <w:marLeft w:val="0"/>
                  <w:marRight w:val="0"/>
                  <w:marTop w:val="0"/>
                  <w:marBottom w:val="0"/>
                  <w:divBdr>
                    <w:top w:val="none" w:sz="0" w:space="0" w:color="auto"/>
                    <w:left w:val="none" w:sz="0" w:space="0" w:color="auto"/>
                    <w:bottom w:val="none" w:sz="0" w:space="0" w:color="auto"/>
                    <w:right w:val="none" w:sz="0" w:space="0" w:color="auto"/>
                  </w:divBdr>
                </w:div>
                <w:div w:id="1775903158">
                  <w:marLeft w:val="0"/>
                  <w:marRight w:val="0"/>
                  <w:marTop w:val="0"/>
                  <w:marBottom w:val="0"/>
                  <w:divBdr>
                    <w:top w:val="none" w:sz="0" w:space="0" w:color="auto"/>
                    <w:left w:val="none" w:sz="0" w:space="0" w:color="auto"/>
                    <w:bottom w:val="none" w:sz="0" w:space="0" w:color="auto"/>
                    <w:right w:val="none" w:sz="0" w:space="0" w:color="auto"/>
                  </w:divBdr>
                </w:div>
                <w:div w:id="1472792769">
                  <w:marLeft w:val="0"/>
                  <w:marRight w:val="0"/>
                  <w:marTop w:val="0"/>
                  <w:marBottom w:val="0"/>
                  <w:divBdr>
                    <w:top w:val="none" w:sz="0" w:space="0" w:color="auto"/>
                    <w:left w:val="none" w:sz="0" w:space="0" w:color="auto"/>
                    <w:bottom w:val="none" w:sz="0" w:space="0" w:color="auto"/>
                    <w:right w:val="none" w:sz="0" w:space="0" w:color="auto"/>
                  </w:divBdr>
                </w:div>
                <w:div w:id="1343047855">
                  <w:marLeft w:val="0"/>
                  <w:marRight w:val="0"/>
                  <w:marTop w:val="0"/>
                  <w:marBottom w:val="0"/>
                  <w:divBdr>
                    <w:top w:val="none" w:sz="0" w:space="0" w:color="auto"/>
                    <w:left w:val="none" w:sz="0" w:space="0" w:color="auto"/>
                    <w:bottom w:val="none" w:sz="0" w:space="0" w:color="auto"/>
                    <w:right w:val="none" w:sz="0" w:space="0" w:color="auto"/>
                  </w:divBdr>
                </w:div>
                <w:div w:id="1839810998">
                  <w:marLeft w:val="0"/>
                  <w:marRight w:val="0"/>
                  <w:marTop w:val="0"/>
                  <w:marBottom w:val="0"/>
                  <w:divBdr>
                    <w:top w:val="none" w:sz="0" w:space="0" w:color="auto"/>
                    <w:left w:val="none" w:sz="0" w:space="0" w:color="auto"/>
                    <w:bottom w:val="none" w:sz="0" w:space="0" w:color="auto"/>
                    <w:right w:val="none" w:sz="0" w:space="0" w:color="auto"/>
                  </w:divBdr>
                </w:div>
                <w:div w:id="1742749146">
                  <w:marLeft w:val="0"/>
                  <w:marRight w:val="0"/>
                  <w:marTop w:val="0"/>
                  <w:marBottom w:val="0"/>
                  <w:divBdr>
                    <w:top w:val="none" w:sz="0" w:space="0" w:color="auto"/>
                    <w:left w:val="none" w:sz="0" w:space="0" w:color="auto"/>
                    <w:bottom w:val="none" w:sz="0" w:space="0" w:color="auto"/>
                    <w:right w:val="none" w:sz="0" w:space="0" w:color="auto"/>
                  </w:divBdr>
                </w:div>
                <w:div w:id="2107074338">
                  <w:marLeft w:val="0"/>
                  <w:marRight w:val="0"/>
                  <w:marTop w:val="0"/>
                  <w:marBottom w:val="0"/>
                  <w:divBdr>
                    <w:top w:val="none" w:sz="0" w:space="0" w:color="auto"/>
                    <w:left w:val="none" w:sz="0" w:space="0" w:color="auto"/>
                    <w:bottom w:val="none" w:sz="0" w:space="0" w:color="auto"/>
                    <w:right w:val="none" w:sz="0" w:space="0" w:color="auto"/>
                  </w:divBdr>
                </w:div>
                <w:div w:id="689258959">
                  <w:marLeft w:val="0"/>
                  <w:marRight w:val="0"/>
                  <w:marTop w:val="0"/>
                  <w:marBottom w:val="0"/>
                  <w:divBdr>
                    <w:top w:val="none" w:sz="0" w:space="0" w:color="auto"/>
                    <w:left w:val="none" w:sz="0" w:space="0" w:color="auto"/>
                    <w:bottom w:val="none" w:sz="0" w:space="0" w:color="auto"/>
                    <w:right w:val="none" w:sz="0" w:space="0" w:color="auto"/>
                  </w:divBdr>
                </w:div>
                <w:div w:id="1333920702">
                  <w:marLeft w:val="0"/>
                  <w:marRight w:val="0"/>
                  <w:marTop w:val="0"/>
                  <w:marBottom w:val="0"/>
                  <w:divBdr>
                    <w:top w:val="none" w:sz="0" w:space="0" w:color="auto"/>
                    <w:left w:val="none" w:sz="0" w:space="0" w:color="auto"/>
                    <w:bottom w:val="none" w:sz="0" w:space="0" w:color="auto"/>
                    <w:right w:val="none" w:sz="0" w:space="0" w:color="auto"/>
                  </w:divBdr>
                </w:div>
                <w:div w:id="356085012">
                  <w:marLeft w:val="0"/>
                  <w:marRight w:val="0"/>
                  <w:marTop w:val="0"/>
                  <w:marBottom w:val="0"/>
                  <w:divBdr>
                    <w:top w:val="none" w:sz="0" w:space="0" w:color="auto"/>
                    <w:left w:val="none" w:sz="0" w:space="0" w:color="auto"/>
                    <w:bottom w:val="none" w:sz="0" w:space="0" w:color="auto"/>
                    <w:right w:val="none" w:sz="0" w:space="0" w:color="auto"/>
                  </w:divBdr>
                </w:div>
                <w:div w:id="1251306278">
                  <w:marLeft w:val="0"/>
                  <w:marRight w:val="0"/>
                  <w:marTop w:val="0"/>
                  <w:marBottom w:val="0"/>
                  <w:divBdr>
                    <w:top w:val="none" w:sz="0" w:space="0" w:color="auto"/>
                    <w:left w:val="none" w:sz="0" w:space="0" w:color="auto"/>
                    <w:bottom w:val="none" w:sz="0" w:space="0" w:color="auto"/>
                    <w:right w:val="none" w:sz="0" w:space="0" w:color="auto"/>
                  </w:divBdr>
                </w:div>
                <w:div w:id="1164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4765">
      <w:bodyDiv w:val="1"/>
      <w:marLeft w:val="0"/>
      <w:marRight w:val="0"/>
      <w:marTop w:val="0"/>
      <w:marBottom w:val="0"/>
      <w:divBdr>
        <w:top w:val="none" w:sz="0" w:space="0" w:color="auto"/>
        <w:left w:val="none" w:sz="0" w:space="0" w:color="auto"/>
        <w:bottom w:val="none" w:sz="0" w:space="0" w:color="auto"/>
        <w:right w:val="none" w:sz="0" w:space="0" w:color="auto"/>
      </w:divBdr>
    </w:div>
    <w:div w:id="1718118993">
      <w:bodyDiv w:val="1"/>
      <w:marLeft w:val="0"/>
      <w:marRight w:val="0"/>
      <w:marTop w:val="0"/>
      <w:marBottom w:val="0"/>
      <w:divBdr>
        <w:top w:val="none" w:sz="0" w:space="0" w:color="auto"/>
        <w:left w:val="none" w:sz="0" w:space="0" w:color="auto"/>
        <w:bottom w:val="none" w:sz="0" w:space="0" w:color="auto"/>
        <w:right w:val="none" w:sz="0" w:space="0" w:color="auto"/>
      </w:divBdr>
    </w:div>
    <w:div w:id="1939562153">
      <w:bodyDiv w:val="1"/>
      <w:marLeft w:val="0"/>
      <w:marRight w:val="0"/>
      <w:marTop w:val="0"/>
      <w:marBottom w:val="0"/>
      <w:divBdr>
        <w:top w:val="none" w:sz="0" w:space="0" w:color="auto"/>
        <w:left w:val="none" w:sz="0" w:space="0" w:color="auto"/>
        <w:bottom w:val="none" w:sz="0" w:space="0" w:color="auto"/>
        <w:right w:val="none" w:sz="0" w:space="0" w:color="auto"/>
      </w:divBdr>
    </w:div>
    <w:div w:id="2051299393">
      <w:bodyDiv w:val="1"/>
      <w:marLeft w:val="0"/>
      <w:marRight w:val="0"/>
      <w:marTop w:val="0"/>
      <w:marBottom w:val="0"/>
      <w:divBdr>
        <w:top w:val="none" w:sz="0" w:space="0" w:color="auto"/>
        <w:left w:val="none" w:sz="0" w:space="0" w:color="auto"/>
        <w:bottom w:val="none" w:sz="0" w:space="0" w:color="auto"/>
        <w:right w:val="none" w:sz="0" w:space="0" w:color="auto"/>
      </w:divBdr>
      <w:divsChild>
        <w:div w:id="1795522069">
          <w:marLeft w:val="0"/>
          <w:marRight w:val="0"/>
          <w:marTop w:val="15"/>
          <w:marBottom w:val="0"/>
          <w:divBdr>
            <w:top w:val="single" w:sz="48" w:space="0" w:color="auto"/>
            <w:left w:val="single" w:sz="48" w:space="0" w:color="auto"/>
            <w:bottom w:val="single" w:sz="48" w:space="0" w:color="auto"/>
            <w:right w:val="single" w:sz="48" w:space="0" w:color="auto"/>
          </w:divBdr>
          <w:divsChild>
            <w:div w:id="20442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mundo/noticias-america-latina-60478253" TargetMode="External"/><Relationship Id="rId13" Type="http://schemas.openxmlformats.org/officeDocument/2006/relationships/hyperlink" Target="https://bit.ly/3t7YOQ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hyperlink" Target="https://es.investing.com/news/commodities-news/el-petroleo-brent-sube-un-151--hasta-11977-dolares-223114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emana.com/economia/macroeconomia/articulo/el-conflicto-rusia-ucrania-dispara-el-precio-del-petroleo/202251/" TargetMode="Externa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hyperlink" Target="https://elpais.com/economia/2022-02-24/el-gas-se-dispara-y-el-petroleo-supera-los-100-dolares-tras-el-inicio-de-la-guerra-en-ucrania.html" TargetMode="External"/><Relationship Id="rId5" Type="http://schemas.openxmlformats.org/officeDocument/2006/relationships/chart" Target="charts/chart1.xml"/><Relationship Id="rId15" Type="http://schemas.openxmlformats.org/officeDocument/2006/relationships/hyperlink" Target="https://docplayer.es/23452427-Tecnicas-estadisticas-aplicadas-en-nutricion-y-salud.html" TargetMode="External"/><Relationship Id="rId10" Type="http://schemas.openxmlformats.org/officeDocument/2006/relationships/hyperlink" Target="https://bit.ly/3tEIUvz" TargetMode="External"/><Relationship Id="rId4" Type="http://schemas.openxmlformats.org/officeDocument/2006/relationships/image" Target="media/image1.png"/><Relationship Id="rId9" Type="http://schemas.openxmlformats.org/officeDocument/2006/relationships/hyperlink" Target="https://doi.org/10.31260/RepertMedCir.01217372.1115" TargetMode="External"/><Relationship Id="rId14" Type="http://schemas.openxmlformats.org/officeDocument/2006/relationships/hyperlink" Target="https://www.ugr.es/~fmocan/MATERIALES%20DOCTORADO/DESCRIPTIVA%20Y%20EXPLORATORIO.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RESPALDO\Desktop\MASTER-TEACHER\General-Santander\INV-SABER11\PETROLEO-BRENT\PETROLEO-BR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RESPALDO\Desktop\MASTER-TEACHER\General-Santander\INV-SABER11\PETROLEO-BRENT\PETROLEO-BR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ocuments\RESPALDO\Desktop\MASTER-TEACHER\General-Santander\INV-SABER11\PETROLEO-BRENT\PETROLEO-BREN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Brent!$E$1</c:f>
              <c:strCache>
                <c:ptCount val="1"/>
                <c:pt idx="0">
                  <c:v>Antes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1"/>
            <c:trendlineLbl>
              <c:layout>
                <c:manualLayout>
                  <c:x val="3.2868706945612383E-3"/>
                  <c:y val="-7.0631014873140857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trendlineLbl>
          </c:trendline>
          <c:val>
            <c:numRef>
              <c:f>Brent!$E$2:$E$39</c:f>
              <c:numCache>
                <c:formatCode>General</c:formatCode>
                <c:ptCount val="38"/>
                <c:pt idx="0">
                  <c:v>78.98</c:v>
                </c:pt>
                <c:pt idx="1">
                  <c:v>80</c:v>
                </c:pt>
                <c:pt idx="2">
                  <c:v>80.8</c:v>
                </c:pt>
                <c:pt idx="3">
                  <c:v>81.99</c:v>
                </c:pt>
                <c:pt idx="4">
                  <c:v>81.75</c:v>
                </c:pt>
                <c:pt idx="5">
                  <c:v>80.87</c:v>
                </c:pt>
                <c:pt idx="6">
                  <c:v>83.72</c:v>
                </c:pt>
                <c:pt idx="7">
                  <c:v>84.67</c:v>
                </c:pt>
                <c:pt idx="8">
                  <c:v>84.47</c:v>
                </c:pt>
                <c:pt idx="9">
                  <c:v>86.06</c:v>
                </c:pt>
                <c:pt idx="10">
                  <c:v>86.48</c:v>
                </c:pt>
                <c:pt idx="11">
                  <c:v>87.51</c:v>
                </c:pt>
                <c:pt idx="12">
                  <c:v>88.44</c:v>
                </c:pt>
                <c:pt idx="13">
                  <c:v>88.38</c:v>
                </c:pt>
                <c:pt idx="14">
                  <c:v>87.89</c:v>
                </c:pt>
                <c:pt idx="15">
                  <c:v>86.27</c:v>
                </c:pt>
                <c:pt idx="16">
                  <c:v>88.2</c:v>
                </c:pt>
                <c:pt idx="17">
                  <c:v>88.74</c:v>
                </c:pt>
                <c:pt idx="18">
                  <c:v>88.17</c:v>
                </c:pt>
                <c:pt idx="19">
                  <c:v>90.03</c:v>
                </c:pt>
                <c:pt idx="20">
                  <c:v>91.21</c:v>
                </c:pt>
                <c:pt idx="21">
                  <c:v>89.16</c:v>
                </c:pt>
                <c:pt idx="22">
                  <c:v>89.47</c:v>
                </c:pt>
                <c:pt idx="23">
                  <c:v>91.11</c:v>
                </c:pt>
                <c:pt idx="24">
                  <c:v>93.27</c:v>
                </c:pt>
                <c:pt idx="25">
                  <c:v>92.69</c:v>
                </c:pt>
                <c:pt idx="26">
                  <c:v>90.78</c:v>
                </c:pt>
                <c:pt idx="27">
                  <c:v>91.55</c:v>
                </c:pt>
                <c:pt idx="28">
                  <c:v>91.41</c:v>
                </c:pt>
                <c:pt idx="29">
                  <c:v>94.44</c:v>
                </c:pt>
                <c:pt idx="30">
                  <c:v>96.48</c:v>
                </c:pt>
                <c:pt idx="31">
                  <c:v>93.28</c:v>
                </c:pt>
                <c:pt idx="32">
                  <c:v>94.81</c:v>
                </c:pt>
                <c:pt idx="33">
                  <c:v>92.97</c:v>
                </c:pt>
                <c:pt idx="34">
                  <c:v>93.54</c:v>
                </c:pt>
                <c:pt idx="35">
                  <c:v>95.39</c:v>
                </c:pt>
                <c:pt idx="36">
                  <c:v>96.84</c:v>
                </c:pt>
                <c:pt idx="37">
                  <c:v>96.84</c:v>
                </c:pt>
              </c:numCache>
            </c:numRef>
          </c:val>
          <c:smooth val="0"/>
          <c:extLst>
            <c:ext xmlns:c16="http://schemas.microsoft.com/office/drawing/2014/chart" uri="{C3380CC4-5D6E-409C-BE32-E72D297353CC}">
              <c16:uniqueId val="{00000001-C276-4339-A156-1D655D162E6D}"/>
            </c:ext>
          </c:extLst>
        </c:ser>
        <c:dLbls>
          <c:showLegendKey val="0"/>
          <c:showVal val="0"/>
          <c:showCatName val="0"/>
          <c:showSerName val="0"/>
          <c:showPercent val="0"/>
          <c:showBubbleSize val="0"/>
        </c:dLbls>
        <c:smooth val="0"/>
        <c:axId val="375668920"/>
        <c:axId val="375667280"/>
      </c:lineChart>
      <c:catAx>
        <c:axId val="375668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Días</a:t>
                </a:r>
              </a:p>
            </c:rich>
          </c:tx>
          <c:layout>
            <c:manualLayout>
              <c:xMode val="edge"/>
              <c:yMode val="edge"/>
              <c:x val="0.51432476280270789"/>
              <c:y val="0.886898148148148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375667280"/>
        <c:crosses val="autoZero"/>
        <c:auto val="1"/>
        <c:lblAlgn val="ctr"/>
        <c:lblOffset val="100"/>
        <c:noMultiLvlLbl val="0"/>
      </c:catAx>
      <c:valAx>
        <c:axId val="375667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a:solidFill>
                      <a:sysClr val="windowText" lastClr="000000"/>
                    </a:solidFill>
                  </a:rPr>
                  <a:t>Precio petróleo Brent en USD</a:t>
                </a:r>
              </a:p>
            </c:rich>
          </c:tx>
          <c:layout>
            <c:manualLayout>
              <c:xMode val="edge"/>
              <c:yMode val="edge"/>
              <c:x val="1.7259978425026967E-2"/>
              <c:y val="8.69714202391367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375668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Brent!$F$1</c:f>
              <c:strCache>
                <c:ptCount val="1"/>
                <c:pt idx="0">
                  <c:v>Durante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1"/>
            <c:trendlineLbl>
              <c:layout>
                <c:manualLayout>
                  <c:x val="-2.0878318045295802E-2"/>
                  <c:y val="-9.2495922469286285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b="1" baseline="0">
                        <a:solidFill>
                          <a:sysClr val="windowText" lastClr="000000"/>
                        </a:solidFill>
                      </a:rPr>
                      <a:t>y = 0,0446x + 108,08</a:t>
                    </a:r>
                    <a:br>
                      <a:rPr lang="en-US" sz="1000" b="1" baseline="0">
                        <a:solidFill>
                          <a:sysClr val="windowText" lastClr="000000"/>
                        </a:solidFill>
                      </a:rPr>
                    </a:br>
                    <a:endParaRPr lang="en-US" sz="1000" b="1">
                      <a:solidFill>
                        <a:sysClr val="windowText" lastClr="000000"/>
                      </a:solidFill>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rendlineLbl>
          </c:trendline>
          <c:val>
            <c:numRef>
              <c:f>Brent!$F$2:$F$73</c:f>
              <c:numCache>
                <c:formatCode>General</c:formatCode>
                <c:ptCount val="72"/>
                <c:pt idx="0">
                  <c:v>99.08</c:v>
                </c:pt>
                <c:pt idx="1">
                  <c:v>97.93</c:v>
                </c:pt>
                <c:pt idx="2">
                  <c:v>103.08</c:v>
                </c:pt>
                <c:pt idx="3">
                  <c:v>104.97</c:v>
                </c:pt>
                <c:pt idx="4">
                  <c:v>112.93</c:v>
                </c:pt>
                <c:pt idx="5">
                  <c:v>110.46</c:v>
                </c:pt>
                <c:pt idx="6">
                  <c:v>118.11</c:v>
                </c:pt>
                <c:pt idx="7">
                  <c:v>123.21</c:v>
                </c:pt>
                <c:pt idx="8">
                  <c:v>129.30000000000001</c:v>
                </c:pt>
                <c:pt idx="9">
                  <c:v>111.14</c:v>
                </c:pt>
                <c:pt idx="10">
                  <c:v>109.33</c:v>
                </c:pt>
                <c:pt idx="11">
                  <c:v>112.67</c:v>
                </c:pt>
                <c:pt idx="12">
                  <c:v>106.9</c:v>
                </c:pt>
                <c:pt idx="13">
                  <c:v>99.91</c:v>
                </c:pt>
                <c:pt idx="14">
                  <c:v>98.02</c:v>
                </c:pt>
                <c:pt idx="15">
                  <c:v>106.64</c:v>
                </c:pt>
                <c:pt idx="16">
                  <c:v>107.96</c:v>
                </c:pt>
                <c:pt idx="17">
                  <c:v>115.62</c:v>
                </c:pt>
                <c:pt idx="18">
                  <c:v>115.48</c:v>
                </c:pt>
                <c:pt idx="19">
                  <c:v>121.6</c:v>
                </c:pt>
                <c:pt idx="20">
                  <c:v>119.03</c:v>
                </c:pt>
                <c:pt idx="21">
                  <c:v>120.65</c:v>
                </c:pt>
                <c:pt idx="22">
                  <c:v>112.48</c:v>
                </c:pt>
                <c:pt idx="23">
                  <c:v>110.23</c:v>
                </c:pt>
                <c:pt idx="24">
                  <c:v>113.45</c:v>
                </c:pt>
                <c:pt idx="25">
                  <c:v>107.91</c:v>
                </c:pt>
                <c:pt idx="26">
                  <c:v>104.39</c:v>
                </c:pt>
                <c:pt idx="27">
                  <c:v>107.53</c:v>
                </c:pt>
                <c:pt idx="28">
                  <c:v>106.64</c:v>
                </c:pt>
                <c:pt idx="29">
                  <c:v>101.07</c:v>
                </c:pt>
                <c:pt idx="30">
                  <c:v>100.58</c:v>
                </c:pt>
                <c:pt idx="31">
                  <c:v>102.78</c:v>
                </c:pt>
                <c:pt idx="32">
                  <c:v>98.48</c:v>
                </c:pt>
                <c:pt idx="33">
                  <c:v>104.64</c:v>
                </c:pt>
                <c:pt idx="34">
                  <c:v>108.78</c:v>
                </c:pt>
                <c:pt idx="35">
                  <c:v>111.7</c:v>
                </c:pt>
                <c:pt idx="36">
                  <c:v>113.16</c:v>
                </c:pt>
                <c:pt idx="37">
                  <c:v>107.25</c:v>
                </c:pt>
                <c:pt idx="38">
                  <c:v>106.8</c:v>
                </c:pt>
                <c:pt idx="39">
                  <c:v>108.33</c:v>
                </c:pt>
                <c:pt idx="40">
                  <c:v>106.65</c:v>
                </c:pt>
                <c:pt idx="41">
                  <c:v>104.56</c:v>
                </c:pt>
                <c:pt idx="42">
                  <c:v>102.29</c:v>
                </c:pt>
                <c:pt idx="43">
                  <c:v>104.61</c:v>
                </c:pt>
                <c:pt idx="44">
                  <c:v>104.95</c:v>
                </c:pt>
                <c:pt idx="45">
                  <c:v>107.59</c:v>
                </c:pt>
                <c:pt idx="46">
                  <c:v>109.34</c:v>
                </c:pt>
                <c:pt idx="47">
                  <c:v>107.58</c:v>
                </c:pt>
                <c:pt idx="48">
                  <c:v>104.97</c:v>
                </c:pt>
                <c:pt idx="49">
                  <c:v>110.14</c:v>
                </c:pt>
                <c:pt idx="50">
                  <c:v>110.9</c:v>
                </c:pt>
                <c:pt idx="51">
                  <c:v>112.39</c:v>
                </c:pt>
                <c:pt idx="52">
                  <c:v>105.94</c:v>
                </c:pt>
                <c:pt idx="53">
                  <c:v>102.46</c:v>
                </c:pt>
                <c:pt idx="54">
                  <c:v>105.51</c:v>
                </c:pt>
                <c:pt idx="55">
                  <c:v>107.45</c:v>
                </c:pt>
                <c:pt idx="56">
                  <c:v>111.5</c:v>
                </c:pt>
                <c:pt idx="57">
                  <c:v>114.24</c:v>
                </c:pt>
                <c:pt idx="58">
                  <c:v>111.93</c:v>
                </c:pt>
                <c:pt idx="59">
                  <c:v>109.11</c:v>
                </c:pt>
                <c:pt idx="60">
                  <c:v>112.04</c:v>
                </c:pt>
                <c:pt idx="61">
                  <c:v>112.55</c:v>
                </c:pt>
                <c:pt idx="62">
                  <c:v>110.78</c:v>
                </c:pt>
                <c:pt idx="63">
                  <c:v>110.69</c:v>
                </c:pt>
                <c:pt idx="64">
                  <c:v>111.12</c:v>
                </c:pt>
                <c:pt idx="65">
                  <c:v>114.17</c:v>
                </c:pt>
                <c:pt idx="66">
                  <c:v>119.43</c:v>
                </c:pt>
                <c:pt idx="67">
                  <c:v>117.6</c:v>
                </c:pt>
                <c:pt idx="68">
                  <c:v>115.6</c:v>
                </c:pt>
                <c:pt idx="69">
                  <c:v>113.56</c:v>
                </c:pt>
                <c:pt idx="70">
                  <c:v>117.61</c:v>
                </c:pt>
                <c:pt idx="71">
                  <c:v>119.72</c:v>
                </c:pt>
              </c:numCache>
            </c:numRef>
          </c:val>
          <c:smooth val="0"/>
          <c:extLst>
            <c:ext xmlns:c16="http://schemas.microsoft.com/office/drawing/2014/chart" uri="{C3380CC4-5D6E-409C-BE32-E72D297353CC}">
              <c16:uniqueId val="{00000001-6FB9-4BC4-B5B8-255BB30DDB4D}"/>
            </c:ext>
          </c:extLst>
        </c:ser>
        <c:dLbls>
          <c:showLegendKey val="0"/>
          <c:showVal val="0"/>
          <c:showCatName val="0"/>
          <c:showSerName val="0"/>
          <c:showPercent val="0"/>
          <c:showBubbleSize val="0"/>
        </c:dLbls>
        <c:smooth val="0"/>
        <c:axId val="443550472"/>
        <c:axId val="443548504"/>
      </c:lineChart>
      <c:catAx>
        <c:axId val="443550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000" b="1" i="0" baseline="0">
                    <a:solidFill>
                      <a:sysClr val="windowText" lastClr="000000"/>
                    </a:solidFill>
                    <a:effectLst/>
                  </a:rPr>
                  <a:t>Días</a:t>
                </a:r>
                <a:endParaRPr lang="es-CO"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443548504"/>
        <c:crosses val="autoZero"/>
        <c:auto val="1"/>
        <c:lblAlgn val="ctr"/>
        <c:lblOffset val="100"/>
        <c:noMultiLvlLbl val="0"/>
      </c:catAx>
      <c:valAx>
        <c:axId val="443548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baseline="0">
                    <a:solidFill>
                      <a:sysClr val="windowText" lastClr="000000"/>
                    </a:solidFill>
                    <a:effectLst/>
                  </a:rPr>
                  <a:t>Precio petróleo Brent en USD</a:t>
                </a:r>
                <a:endParaRPr lang="es-CO" sz="1000">
                  <a:solidFill>
                    <a:sysClr val="windowText" lastClr="000000"/>
                  </a:solidFill>
                  <a:effectLst/>
                </a:endParaRPr>
              </a:p>
            </c:rich>
          </c:tx>
          <c:layout>
            <c:manualLayout>
              <c:xMode val="edge"/>
              <c:yMode val="edge"/>
              <c:x val="1.8327605956471937E-2"/>
              <c:y val="0.169146303688938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443550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Brent!$G$1</c:f>
              <c:strCache>
                <c:ptCount val="1"/>
                <c:pt idx="0">
                  <c:v>Porcentaje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Brent!$G$2:$G$73</c:f>
              <c:numCache>
                <c:formatCode>General</c:formatCode>
                <c:ptCount val="72"/>
                <c:pt idx="0">
                  <c:v>2.31</c:v>
                </c:pt>
                <c:pt idx="1">
                  <c:v>-1.1599999999999999</c:v>
                </c:pt>
                <c:pt idx="2">
                  <c:v>3.12</c:v>
                </c:pt>
                <c:pt idx="3">
                  <c:v>3.94</c:v>
                </c:pt>
                <c:pt idx="4">
                  <c:v>7.58</c:v>
                </c:pt>
                <c:pt idx="5">
                  <c:v>-2.19</c:v>
                </c:pt>
                <c:pt idx="6">
                  <c:v>6.93</c:v>
                </c:pt>
                <c:pt idx="7">
                  <c:v>4.32</c:v>
                </c:pt>
                <c:pt idx="8">
                  <c:v>3.87</c:v>
                </c:pt>
                <c:pt idx="9">
                  <c:v>-13.16</c:v>
                </c:pt>
                <c:pt idx="10">
                  <c:v>-1.63</c:v>
                </c:pt>
                <c:pt idx="11">
                  <c:v>3.05</c:v>
                </c:pt>
                <c:pt idx="12">
                  <c:v>-5.12</c:v>
                </c:pt>
                <c:pt idx="13">
                  <c:v>-6.54</c:v>
                </c:pt>
                <c:pt idx="14">
                  <c:v>-1.89</c:v>
                </c:pt>
                <c:pt idx="15">
                  <c:v>8.7899999999999991</c:v>
                </c:pt>
                <c:pt idx="16">
                  <c:v>1.24</c:v>
                </c:pt>
                <c:pt idx="17">
                  <c:v>7.12</c:v>
                </c:pt>
                <c:pt idx="18">
                  <c:v>-0.12</c:v>
                </c:pt>
                <c:pt idx="19">
                  <c:v>5.3</c:v>
                </c:pt>
                <c:pt idx="20">
                  <c:v>-2.11</c:v>
                </c:pt>
                <c:pt idx="21">
                  <c:v>1.36</c:v>
                </c:pt>
                <c:pt idx="22">
                  <c:v>-6.77</c:v>
                </c:pt>
                <c:pt idx="23">
                  <c:v>-2</c:v>
                </c:pt>
                <c:pt idx="24">
                  <c:v>2.92</c:v>
                </c:pt>
                <c:pt idx="25">
                  <c:v>-4.88</c:v>
                </c:pt>
                <c:pt idx="26">
                  <c:v>-3.26</c:v>
                </c:pt>
                <c:pt idx="27">
                  <c:v>3.01</c:v>
                </c:pt>
                <c:pt idx="28">
                  <c:v>-0.83</c:v>
                </c:pt>
                <c:pt idx="29">
                  <c:v>-5.22</c:v>
                </c:pt>
                <c:pt idx="30">
                  <c:v>-0.48</c:v>
                </c:pt>
                <c:pt idx="31">
                  <c:v>2.19</c:v>
                </c:pt>
                <c:pt idx="32">
                  <c:v>-4.18</c:v>
                </c:pt>
                <c:pt idx="33">
                  <c:v>6.26</c:v>
                </c:pt>
                <c:pt idx="34">
                  <c:v>3.96</c:v>
                </c:pt>
                <c:pt idx="35">
                  <c:v>2.68</c:v>
                </c:pt>
                <c:pt idx="36">
                  <c:v>1.31</c:v>
                </c:pt>
                <c:pt idx="37">
                  <c:v>-5.22</c:v>
                </c:pt>
                <c:pt idx="38">
                  <c:v>-0.42</c:v>
                </c:pt>
                <c:pt idx="39">
                  <c:v>1.43</c:v>
                </c:pt>
                <c:pt idx="40">
                  <c:v>-1.55</c:v>
                </c:pt>
                <c:pt idx="41">
                  <c:v>-1.96</c:v>
                </c:pt>
                <c:pt idx="42">
                  <c:v>-2.17</c:v>
                </c:pt>
                <c:pt idx="43">
                  <c:v>2.27</c:v>
                </c:pt>
                <c:pt idx="44">
                  <c:v>0.33</c:v>
                </c:pt>
                <c:pt idx="45">
                  <c:v>2.52</c:v>
                </c:pt>
                <c:pt idx="46">
                  <c:v>1.63</c:v>
                </c:pt>
                <c:pt idx="47">
                  <c:v>-1.61</c:v>
                </c:pt>
                <c:pt idx="48">
                  <c:v>-2.4300000000000002</c:v>
                </c:pt>
                <c:pt idx="49">
                  <c:v>4.93</c:v>
                </c:pt>
                <c:pt idx="50">
                  <c:v>0.69</c:v>
                </c:pt>
                <c:pt idx="51">
                  <c:v>1.34</c:v>
                </c:pt>
                <c:pt idx="52">
                  <c:v>-5.74</c:v>
                </c:pt>
                <c:pt idx="53">
                  <c:v>-3.28</c:v>
                </c:pt>
                <c:pt idx="54">
                  <c:v>4.93</c:v>
                </c:pt>
                <c:pt idx="55">
                  <c:v>-0.06</c:v>
                </c:pt>
                <c:pt idx="56">
                  <c:v>3.82</c:v>
                </c:pt>
                <c:pt idx="57">
                  <c:v>2.41</c:v>
                </c:pt>
                <c:pt idx="58">
                  <c:v>-2.02</c:v>
                </c:pt>
                <c:pt idx="59">
                  <c:v>-2.52</c:v>
                </c:pt>
                <c:pt idx="60">
                  <c:v>2.69</c:v>
                </c:pt>
                <c:pt idx="61">
                  <c:v>0.46</c:v>
                </c:pt>
                <c:pt idx="62">
                  <c:v>-1.55</c:v>
                </c:pt>
                <c:pt idx="63">
                  <c:v>-0.08</c:v>
                </c:pt>
                <c:pt idx="64">
                  <c:v>0.39</c:v>
                </c:pt>
                <c:pt idx="65">
                  <c:v>2.74</c:v>
                </c:pt>
                <c:pt idx="66">
                  <c:v>4.6100000000000003</c:v>
                </c:pt>
                <c:pt idx="67">
                  <c:v>-1.53</c:v>
                </c:pt>
                <c:pt idx="68">
                  <c:v>-1.7</c:v>
                </c:pt>
                <c:pt idx="69">
                  <c:v>-1.76</c:v>
                </c:pt>
                <c:pt idx="70">
                  <c:v>3.57</c:v>
                </c:pt>
                <c:pt idx="71">
                  <c:v>1.79</c:v>
                </c:pt>
              </c:numCache>
            </c:numRef>
          </c:val>
          <c:extLst>
            <c:ext xmlns:c16="http://schemas.microsoft.com/office/drawing/2014/chart" uri="{C3380CC4-5D6E-409C-BE32-E72D297353CC}">
              <c16:uniqueId val="{00000000-C0A2-43C0-A596-778D99545262}"/>
            </c:ext>
          </c:extLst>
        </c:ser>
        <c:dLbls>
          <c:dLblPos val="outEnd"/>
          <c:showLegendKey val="0"/>
          <c:showVal val="1"/>
          <c:showCatName val="0"/>
          <c:showSerName val="0"/>
          <c:showPercent val="0"/>
          <c:showBubbleSize val="0"/>
        </c:dLbls>
        <c:gapWidth val="444"/>
        <c:overlap val="-90"/>
        <c:axId val="532755384"/>
        <c:axId val="532757024"/>
      </c:barChart>
      <c:catAx>
        <c:axId val="5327553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r>
                  <a:rPr lang="es-CO" sz="1000" b="1">
                    <a:solidFill>
                      <a:sysClr val="windowText" lastClr="000000"/>
                    </a:solidFill>
                  </a:rPr>
                  <a:t>Días</a:t>
                </a:r>
              </a:p>
            </c:rich>
          </c:tx>
          <c:overlay val="0"/>
          <c:spPr>
            <a:noFill/>
            <a:ln>
              <a:noFill/>
            </a:ln>
            <a:effectLst/>
          </c:spPr>
          <c:txPr>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s-CO"/>
          </a:p>
        </c:txPr>
        <c:crossAx val="532757024"/>
        <c:crosses val="autoZero"/>
        <c:auto val="1"/>
        <c:lblAlgn val="ctr"/>
        <c:lblOffset val="100"/>
        <c:noMultiLvlLbl val="0"/>
      </c:catAx>
      <c:valAx>
        <c:axId val="532757024"/>
        <c:scaling>
          <c:orientation val="minMax"/>
        </c:scaling>
        <c:delete val="1"/>
        <c:axPos val="l"/>
        <c:title>
          <c:tx>
            <c:rich>
              <a:bodyPr rot="-54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r>
                  <a:rPr lang="es-CO" b="1">
                    <a:solidFill>
                      <a:sysClr val="windowText" lastClr="000000"/>
                    </a:solidFill>
                  </a:rPr>
                  <a:t>Porcentaje de variación</a:t>
                </a:r>
              </a:p>
            </c:rich>
          </c:tx>
          <c:layout>
            <c:manualLayout>
              <c:xMode val="edge"/>
              <c:yMode val="edge"/>
              <c:x val="1.3888888888888888E-2"/>
              <c:y val="0.18943277923592883"/>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crossAx val="5327553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14</Pages>
  <Words>3486</Words>
  <Characters>19173</Characters>
  <Application>Microsoft Office Word</Application>
  <DocSecurity>0</DocSecurity>
  <Lines>159</Lines>
  <Paragraphs>45</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
      <vt:lpstr/>
      <vt:lpstr/>
      <vt:lpstr/>
      <vt:lpstr/>
      <vt:lpstr/>
      <vt:lpstr/>
      <vt:lpstr/>
      <vt:lpstr/>
      <vt:lpstr/>
      <vt: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Díaz Pinzón</dc:creator>
  <cp:keywords/>
  <dc:description/>
  <cp:lastModifiedBy>Jorge Enrique Díaz Pinzón</cp:lastModifiedBy>
  <cp:revision>198</cp:revision>
  <dcterms:created xsi:type="dcterms:W3CDTF">2022-03-09T13:45:00Z</dcterms:created>
  <dcterms:modified xsi:type="dcterms:W3CDTF">2022-07-30T12:34:00Z</dcterms:modified>
</cp:coreProperties>
</file>