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2BB4D" w14:textId="77777777" w:rsidR="002F17E9" w:rsidRDefault="002F17E9" w:rsidP="00731125">
      <w:pPr>
        <w:spacing w:after="120" w:line="240" w:lineRule="auto"/>
        <w:jc w:val="center"/>
        <w:outlineLvl w:val="0"/>
        <w:rPr>
          <w:rFonts w:ascii="Times New Roman" w:eastAsia="Times New Roman" w:hAnsi="Times New Roman" w:cs="Times New Roman"/>
          <w:b/>
          <w:bCs/>
          <w:color w:val="000000"/>
          <w:kern w:val="36"/>
          <w:sz w:val="28"/>
          <w:szCs w:val="28"/>
          <w:lang w:eastAsia="es-CO"/>
        </w:rPr>
      </w:pPr>
    </w:p>
    <w:p w14:paraId="3F714497" w14:textId="6665AC2E" w:rsidR="002F17E9" w:rsidRPr="000F0FEE" w:rsidRDefault="002F17E9" w:rsidP="002F17E9">
      <w:pPr>
        <w:spacing w:after="120" w:line="240" w:lineRule="auto"/>
        <w:jc w:val="both"/>
        <w:outlineLvl w:val="0"/>
        <w:rPr>
          <w:rFonts w:ascii="Times New Roman" w:eastAsia="Times New Roman" w:hAnsi="Times New Roman" w:cs="Times New Roman"/>
          <w:b/>
          <w:bCs/>
          <w:color w:val="000000"/>
          <w:kern w:val="36"/>
          <w:sz w:val="24"/>
          <w:szCs w:val="24"/>
          <w:lang w:eastAsia="es-CO"/>
        </w:rPr>
      </w:pPr>
      <w:r w:rsidRPr="000F0FEE">
        <w:rPr>
          <w:rFonts w:ascii="Times New Roman" w:eastAsia="Times New Roman" w:hAnsi="Times New Roman" w:cs="Times New Roman"/>
          <w:b/>
          <w:bCs/>
          <w:color w:val="000000"/>
          <w:kern w:val="36"/>
          <w:sz w:val="24"/>
          <w:szCs w:val="24"/>
          <w:lang w:eastAsia="es-CO"/>
        </w:rPr>
        <w:t>ARTÍCULO DE INVESTIGACIÓN</w:t>
      </w:r>
    </w:p>
    <w:p w14:paraId="686E3BA2" w14:textId="77777777" w:rsidR="002F17E9" w:rsidRPr="000F0FEE" w:rsidRDefault="002F17E9" w:rsidP="00731125">
      <w:pPr>
        <w:spacing w:after="120" w:line="240" w:lineRule="auto"/>
        <w:jc w:val="center"/>
        <w:outlineLvl w:val="0"/>
        <w:rPr>
          <w:rFonts w:ascii="Times New Roman" w:eastAsia="Times New Roman" w:hAnsi="Times New Roman" w:cs="Times New Roman"/>
          <w:b/>
          <w:bCs/>
          <w:color w:val="000000"/>
          <w:kern w:val="36"/>
          <w:sz w:val="24"/>
          <w:szCs w:val="24"/>
          <w:lang w:eastAsia="es-CO"/>
        </w:rPr>
      </w:pPr>
    </w:p>
    <w:p w14:paraId="0160CF95" w14:textId="77777777" w:rsidR="007949A3" w:rsidRPr="000F0FEE" w:rsidRDefault="007949A3" w:rsidP="00731125">
      <w:pPr>
        <w:spacing w:after="120" w:line="240" w:lineRule="auto"/>
        <w:jc w:val="center"/>
        <w:outlineLvl w:val="0"/>
        <w:rPr>
          <w:rFonts w:ascii="Times New Roman" w:eastAsia="Times New Roman" w:hAnsi="Times New Roman" w:cs="Times New Roman"/>
          <w:b/>
          <w:bCs/>
          <w:color w:val="000000"/>
          <w:kern w:val="36"/>
          <w:sz w:val="24"/>
          <w:szCs w:val="24"/>
          <w:lang w:eastAsia="es-CO"/>
        </w:rPr>
      </w:pPr>
    </w:p>
    <w:p w14:paraId="28D41CF3" w14:textId="77777777" w:rsidR="007949A3" w:rsidRPr="000F0FEE" w:rsidRDefault="007949A3" w:rsidP="00731125">
      <w:pPr>
        <w:spacing w:after="120" w:line="240" w:lineRule="auto"/>
        <w:jc w:val="center"/>
        <w:outlineLvl w:val="0"/>
        <w:rPr>
          <w:rFonts w:ascii="Times New Roman" w:eastAsia="Times New Roman" w:hAnsi="Times New Roman" w:cs="Times New Roman"/>
          <w:b/>
          <w:bCs/>
          <w:color w:val="000000"/>
          <w:kern w:val="36"/>
          <w:sz w:val="24"/>
          <w:szCs w:val="24"/>
          <w:lang w:eastAsia="es-CO"/>
        </w:rPr>
      </w:pPr>
    </w:p>
    <w:p w14:paraId="53FDA655" w14:textId="77777777" w:rsidR="007949A3" w:rsidRPr="000F0FEE" w:rsidRDefault="007949A3" w:rsidP="00731125">
      <w:pPr>
        <w:spacing w:after="120" w:line="240" w:lineRule="auto"/>
        <w:jc w:val="center"/>
        <w:outlineLvl w:val="0"/>
        <w:rPr>
          <w:rFonts w:ascii="Times New Roman" w:eastAsia="Times New Roman" w:hAnsi="Times New Roman" w:cs="Times New Roman"/>
          <w:b/>
          <w:bCs/>
          <w:color w:val="000000"/>
          <w:kern w:val="36"/>
          <w:sz w:val="24"/>
          <w:szCs w:val="24"/>
          <w:lang w:eastAsia="es-CO"/>
        </w:rPr>
      </w:pPr>
    </w:p>
    <w:p w14:paraId="626D2438" w14:textId="44E2F281" w:rsidR="00731125" w:rsidRPr="000F0FEE" w:rsidRDefault="00EB0294" w:rsidP="00731125">
      <w:pPr>
        <w:spacing w:after="120" w:line="240" w:lineRule="auto"/>
        <w:jc w:val="center"/>
        <w:outlineLvl w:val="0"/>
        <w:rPr>
          <w:rFonts w:ascii="Times New Roman" w:eastAsia="Times New Roman" w:hAnsi="Times New Roman" w:cs="Times New Roman"/>
          <w:b/>
          <w:bCs/>
          <w:color w:val="000000"/>
          <w:kern w:val="36"/>
          <w:sz w:val="24"/>
          <w:szCs w:val="24"/>
          <w:lang w:eastAsia="es-CO"/>
        </w:rPr>
      </w:pPr>
      <w:r w:rsidRPr="000F0FEE">
        <w:rPr>
          <w:rFonts w:ascii="Times New Roman" w:eastAsia="Times New Roman" w:hAnsi="Times New Roman" w:cs="Times New Roman"/>
          <w:b/>
          <w:bCs/>
          <w:color w:val="000000"/>
          <w:kern w:val="36"/>
          <w:sz w:val="24"/>
          <w:szCs w:val="24"/>
          <w:lang w:eastAsia="es-CO"/>
        </w:rPr>
        <w:t xml:space="preserve">ANÁLISIS CORRELACIONAL DEL IMPACTO DEL COVID-19 EN EL CASO DE COLOMBIA FRENTE AL PRECIO DEL PETRÓLEO BRENT </w:t>
      </w:r>
    </w:p>
    <w:p w14:paraId="3B5BA5EE" w14:textId="77777777" w:rsidR="00DD21E3" w:rsidRPr="000F0FEE" w:rsidRDefault="00DD21E3" w:rsidP="00DD21E3">
      <w:pPr>
        <w:spacing w:after="120" w:line="360" w:lineRule="auto"/>
        <w:jc w:val="center"/>
        <w:outlineLvl w:val="0"/>
        <w:rPr>
          <w:rFonts w:ascii="Times New Roman" w:hAnsi="Times New Roman" w:cs="Times New Roman"/>
          <w:b/>
          <w:bCs/>
          <w:sz w:val="24"/>
          <w:szCs w:val="24"/>
          <w:lang w:val="en-US"/>
        </w:rPr>
      </w:pPr>
      <w:r w:rsidRPr="000F0FEE">
        <w:rPr>
          <w:rFonts w:ascii="Times New Roman" w:hAnsi="Times New Roman" w:cs="Times New Roman"/>
          <w:b/>
          <w:bCs/>
          <w:sz w:val="24"/>
          <w:szCs w:val="24"/>
          <w:lang w:val="en-US"/>
        </w:rPr>
        <w:t>CORRELATIONAL ANALYSIS OF THE IMPACT OF COVID-19 IN THE CASE OF COLOMBIA AGAINST THE PRICE OF BRENT OIL</w:t>
      </w:r>
    </w:p>
    <w:p w14:paraId="0B80BA65" w14:textId="77777777" w:rsidR="00DD21E3" w:rsidRPr="000F0FEE" w:rsidRDefault="00DD21E3" w:rsidP="00DD21E3">
      <w:pPr>
        <w:spacing w:after="120" w:line="360" w:lineRule="auto"/>
        <w:jc w:val="center"/>
        <w:outlineLvl w:val="0"/>
        <w:rPr>
          <w:rFonts w:ascii="Times New Roman" w:hAnsi="Times New Roman" w:cs="Times New Roman"/>
          <w:b/>
          <w:bCs/>
          <w:sz w:val="24"/>
          <w:szCs w:val="24"/>
          <w:lang w:val="pt-BR"/>
        </w:rPr>
      </w:pPr>
      <w:r w:rsidRPr="000F0FEE">
        <w:rPr>
          <w:rFonts w:ascii="Times New Roman" w:hAnsi="Times New Roman" w:cs="Times New Roman"/>
          <w:b/>
          <w:bCs/>
          <w:sz w:val="24"/>
          <w:szCs w:val="24"/>
          <w:lang w:val="pt-BR"/>
        </w:rPr>
        <w:t>ANÁLISE CORRELACIONAL DO IMPACTO DO COVID-19 NO CASO DA COLÔMBIA SOBRE O PREÇO DO PETRÓLEO BRENT</w:t>
      </w:r>
    </w:p>
    <w:p w14:paraId="517E20B8" w14:textId="1C8F5DC9" w:rsidR="007949A3" w:rsidRDefault="007949A3" w:rsidP="00731125">
      <w:pPr>
        <w:spacing w:after="120" w:line="240" w:lineRule="auto"/>
        <w:jc w:val="center"/>
        <w:outlineLvl w:val="0"/>
        <w:rPr>
          <w:rFonts w:ascii="Times New Roman" w:eastAsia="Times New Roman" w:hAnsi="Times New Roman" w:cs="Times New Roman"/>
          <w:b/>
          <w:bCs/>
          <w:color w:val="000000"/>
          <w:kern w:val="36"/>
          <w:sz w:val="24"/>
          <w:szCs w:val="24"/>
          <w:lang w:val="pt-BR" w:eastAsia="es-CO"/>
        </w:rPr>
      </w:pPr>
    </w:p>
    <w:p w14:paraId="430DA3B8" w14:textId="77777777" w:rsidR="00485276" w:rsidRDefault="00485276" w:rsidP="00731125">
      <w:pPr>
        <w:spacing w:after="120" w:line="240" w:lineRule="auto"/>
        <w:jc w:val="center"/>
        <w:outlineLvl w:val="0"/>
        <w:rPr>
          <w:rFonts w:ascii="Times New Roman" w:eastAsia="Times New Roman" w:hAnsi="Times New Roman" w:cs="Times New Roman"/>
          <w:b/>
          <w:bCs/>
          <w:color w:val="000000"/>
          <w:kern w:val="36"/>
          <w:sz w:val="24"/>
          <w:szCs w:val="24"/>
          <w:lang w:val="pt-BR" w:eastAsia="es-CO"/>
        </w:rPr>
      </w:pPr>
    </w:p>
    <w:p w14:paraId="0566F80A" w14:textId="5A4659DE" w:rsidR="00485276" w:rsidRDefault="00485276" w:rsidP="00731125">
      <w:pPr>
        <w:spacing w:after="120" w:line="240" w:lineRule="auto"/>
        <w:jc w:val="center"/>
        <w:outlineLvl w:val="0"/>
        <w:rPr>
          <w:rFonts w:ascii="Times New Roman" w:eastAsia="Times New Roman" w:hAnsi="Times New Roman" w:cs="Times New Roman"/>
          <w:b/>
          <w:bCs/>
          <w:color w:val="000000"/>
          <w:kern w:val="36"/>
          <w:sz w:val="24"/>
          <w:szCs w:val="24"/>
          <w:lang w:val="pt-BR" w:eastAsia="es-CO"/>
        </w:rPr>
      </w:pPr>
    </w:p>
    <w:p w14:paraId="0E8CAE52" w14:textId="77777777" w:rsidR="00485276" w:rsidRPr="009D14B7" w:rsidRDefault="00485276" w:rsidP="00485276">
      <w:pPr>
        <w:pStyle w:val="Default"/>
        <w:jc w:val="right"/>
      </w:pPr>
      <w:r w:rsidRPr="009D14B7">
        <w:t xml:space="preserve">Jorge Enrique Díaz-Pinzón </w:t>
      </w:r>
    </w:p>
    <w:p w14:paraId="46084B18" w14:textId="77777777" w:rsidR="00485276" w:rsidRPr="009D14B7" w:rsidRDefault="00485276" w:rsidP="00485276">
      <w:pPr>
        <w:pStyle w:val="Default"/>
        <w:jc w:val="right"/>
        <w:rPr>
          <w:color w:val="0462C1"/>
        </w:rPr>
      </w:pPr>
      <w:r w:rsidRPr="009D14B7">
        <w:t xml:space="preserve">ORCID: </w:t>
      </w:r>
      <w:r w:rsidRPr="009D14B7">
        <w:rPr>
          <w:color w:val="0462C1"/>
        </w:rPr>
        <w:t xml:space="preserve">https://orcid.org/0000-0002-8870-7769 </w:t>
      </w:r>
    </w:p>
    <w:p w14:paraId="4735A040" w14:textId="77777777" w:rsidR="00485276" w:rsidRPr="009D14B7" w:rsidRDefault="00485276" w:rsidP="00485276">
      <w:pPr>
        <w:spacing w:line="360" w:lineRule="auto"/>
        <w:jc w:val="center"/>
        <w:rPr>
          <w:sz w:val="24"/>
          <w:szCs w:val="24"/>
        </w:rPr>
      </w:pPr>
    </w:p>
    <w:p w14:paraId="6F518A7E" w14:textId="77777777" w:rsidR="00485276" w:rsidRDefault="00485276" w:rsidP="00485276">
      <w:pPr>
        <w:spacing w:line="360" w:lineRule="auto"/>
        <w:jc w:val="center"/>
        <w:rPr>
          <w:sz w:val="23"/>
          <w:szCs w:val="23"/>
        </w:rPr>
      </w:pPr>
    </w:p>
    <w:p w14:paraId="263AFC69" w14:textId="77777777" w:rsidR="00485276" w:rsidRDefault="00485276" w:rsidP="00485276">
      <w:pPr>
        <w:spacing w:line="360" w:lineRule="auto"/>
        <w:jc w:val="center"/>
        <w:rPr>
          <w:sz w:val="23"/>
          <w:szCs w:val="23"/>
        </w:rPr>
      </w:pPr>
    </w:p>
    <w:p w14:paraId="3FF20CB4" w14:textId="77777777" w:rsidR="00485276" w:rsidRDefault="00485276" w:rsidP="00485276">
      <w:pPr>
        <w:spacing w:line="360" w:lineRule="auto"/>
        <w:jc w:val="center"/>
        <w:rPr>
          <w:sz w:val="23"/>
          <w:szCs w:val="23"/>
        </w:rPr>
      </w:pPr>
    </w:p>
    <w:p w14:paraId="43DE36F3" w14:textId="77777777" w:rsidR="00485276" w:rsidRDefault="00485276" w:rsidP="00485276">
      <w:pPr>
        <w:spacing w:line="360" w:lineRule="auto"/>
        <w:jc w:val="center"/>
        <w:rPr>
          <w:sz w:val="23"/>
          <w:szCs w:val="23"/>
        </w:rPr>
      </w:pPr>
    </w:p>
    <w:p w14:paraId="3EEECEC9" w14:textId="77777777" w:rsidR="00485276" w:rsidRDefault="00485276" w:rsidP="00485276">
      <w:pPr>
        <w:spacing w:line="360" w:lineRule="auto"/>
        <w:jc w:val="center"/>
        <w:rPr>
          <w:sz w:val="23"/>
          <w:szCs w:val="23"/>
        </w:rPr>
      </w:pPr>
    </w:p>
    <w:p w14:paraId="6A7FCBEF" w14:textId="77777777" w:rsidR="00485276" w:rsidRDefault="00485276" w:rsidP="00485276">
      <w:pPr>
        <w:spacing w:line="360" w:lineRule="auto"/>
        <w:jc w:val="center"/>
        <w:rPr>
          <w:sz w:val="23"/>
          <w:szCs w:val="23"/>
        </w:rPr>
      </w:pPr>
    </w:p>
    <w:p w14:paraId="43BF84A3" w14:textId="77777777" w:rsidR="00485276" w:rsidRDefault="00485276" w:rsidP="00485276">
      <w:pPr>
        <w:spacing w:line="360" w:lineRule="auto"/>
        <w:jc w:val="center"/>
        <w:rPr>
          <w:sz w:val="23"/>
          <w:szCs w:val="23"/>
        </w:rPr>
      </w:pPr>
    </w:p>
    <w:p w14:paraId="255041E0" w14:textId="77777777" w:rsidR="00485276" w:rsidRDefault="00485276" w:rsidP="00485276">
      <w:pPr>
        <w:spacing w:line="360" w:lineRule="auto"/>
        <w:jc w:val="center"/>
        <w:rPr>
          <w:sz w:val="23"/>
          <w:szCs w:val="23"/>
        </w:rPr>
      </w:pPr>
    </w:p>
    <w:p w14:paraId="12FBEDFE" w14:textId="77777777" w:rsidR="00485276" w:rsidRPr="009D14B7" w:rsidRDefault="00485276" w:rsidP="00485276">
      <w:pPr>
        <w:spacing w:line="240" w:lineRule="auto"/>
        <w:jc w:val="both"/>
        <w:rPr>
          <w:rFonts w:ascii="Times New Roman" w:hAnsi="Times New Roman" w:cs="Times New Roman"/>
          <w:b/>
          <w:bCs/>
          <w:lang w:val="pt-BR"/>
        </w:rPr>
      </w:pPr>
      <w:r w:rsidRPr="009D14B7">
        <w:rPr>
          <w:rFonts w:ascii="Times New Roman" w:hAnsi="Times New Roman" w:cs="Times New Roman"/>
        </w:rPr>
        <w:t xml:space="preserve">* Ingeniero. Magister en Gestión de la Tecnología Educativa, Especialista en Administración de la Informática Educativa. Docente de matemáticas en la Secretaría de Educación de Soacha, Colombia. Investigador Junior (IJ) de MINCIENCIAS. Correo electrónico: </w:t>
      </w:r>
      <w:r w:rsidRPr="009D14B7">
        <w:rPr>
          <w:rFonts w:ascii="Times New Roman" w:hAnsi="Times New Roman" w:cs="Times New Roman"/>
          <w:color w:val="0462C1"/>
        </w:rPr>
        <w:t>jediazp@unal.edu.co</w:t>
      </w:r>
    </w:p>
    <w:p w14:paraId="4DDF9062" w14:textId="24E4EFE4" w:rsidR="000D7058" w:rsidRPr="000F0FEE" w:rsidRDefault="000B773F" w:rsidP="001C6F70">
      <w:pPr>
        <w:spacing w:after="120" w:line="240" w:lineRule="auto"/>
        <w:jc w:val="both"/>
        <w:outlineLvl w:val="0"/>
        <w:rPr>
          <w:rFonts w:ascii="Times New Roman" w:hAnsi="Times New Roman" w:cs="Times New Roman"/>
          <w:b/>
          <w:bCs/>
          <w:sz w:val="24"/>
          <w:szCs w:val="24"/>
        </w:rPr>
      </w:pPr>
      <w:r w:rsidRPr="000F0FEE">
        <w:rPr>
          <w:rFonts w:ascii="Times New Roman" w:hAnsi="Times New Roman" w:cs="Times New Roman"/>
          <w:b/>
          <w:bCs/>
          <w:sz w:val="24"/>
          <w:szCs w:val="24"/>
        </w:rPr>
        <w:lastRenderedPageBreak/>
        <w:t>Resumen</w:t>
      </w:r>
    </w:p>
    <w:p w14:paraId="2FC83BD6" w14:textId="77777777" w:rsidR="000B773F" w:rsidRPr="000F0FEE" w:rsidRDefault="000B773F" w:rsidP="001C6F70">
      <w:pPr>
        <w:spacing w:after="120" w:line="240" w:lineRule="auto"/>
        <w:jc w:val="both"/>
        <w:outlineLvl w:val="0"/>
        <w:rPr>
          <w:rFonts w:ascii="Times New Roman" w:hAnsi="Times New Roman" w:cs="Times New Roman"/>
          <w:sz w:val="24"/>
          <w:szCs w:val="24"/>
        </w:rPr>
      </w:pPr>
    </w:p>
    <w:p w14:paraId="4F2785CD" w14:textId="43C02692" w:rsidR="009A31DA" w:rsidRPr="000F0FEE" w:rsidRDefault="000B773F" w:rsidP="008E0FCE">
      <w:pPr>
        <w:pStyle w:val="Textoindependiente"/>
        <w:spacing w:line="360" w:lineRule="auto"/>
        <w:jc w:val="both"/>
        <w:rPr>
          <w:rFonts w:ascii="Times New Roman" w:hAnsi="Times New Roman" w:cs="Times New Roman"/>
          <w:sz w:val="24"/>
          <w:szCs w:val="24"/>
        </w:rPr>
      </w:pPr>
      <w:r w:rsidRPr="000F0FEE">
        <w:rPr>
          <w:rFonts w:ascii="Times New Roman" w:hAnsi="Times New Roman" w:cs="Times New Roman"/>
          <w:sz w:val="24"/>
          <w:szCs w:val="24"/>
          <w:shd w:val="clear" w:color="auto" w:fill="FFFFFF"/>
        </w:rPr>
        <w:t>L</w:t>
      </w:r>
      <w:r w:rsidRPr="000F0FEE">
        <w:rPr>
          <w:rFonts w:ascii="Times New Roman" w:hAnsi="Times New Roman" w:cs="Times New Roman"/>
          <w:sz w:val="24"/>
          <w:szCs w:val="24"/>
        </w:rPr>
        <w:t>a pandemia del COVID-19 ha impactado los precios del petróleo Brent desde su aparición en diciembre de 2019,</w:t>
      </w:r>
      <w:r w:rsidR="00445BB0" w:rsidRPr="000F0FEE">
        <w:rPr>
          <w:rFonts w:ascii="Times New Roman" w:hAnsi="Times New Roman" w:cs="Times New Roman"/>
          <w:sz w:val="24"/>
          <w:szCs w:val="24"/>
        </w:rPr>
        <w:t xml:space="preserve"> este fenómeno es explicado por la reducción de demanda energética por el coronavirus.</w:t>
      </w:r>
      <w:r w:rsidRPr="000F0FEE">
        <w:rPr>
          <w:rFonts w:ascii="Times New Roman" w:hAnsi="Times New Roman" w:cs="Times New Roman"/>
          <w:sz w:val="24"/>
          <w:szCs w:val="24"/>
        </w:rPr>
        <w:t xml:space="preserve"> </w:t>
      </w:r>
      <w:r w:rsidR="00EB176E" w:rsidRPr="000F0FEE">
        <w:rPr>
          <w:rFonts w:ascii="Times New Roman" w:hAnsi="Times New Roman" w:cs="Times New Roman"/>
          <w:sz w:val="24"/>
          <w:szCs w:val="24"/>
        </w:rPr>
        <w:t>El</w:t>
      </w:r>
      <w:r w:rsidR="002E47B0" w:rsidRPr="000F0FEE">
        <w:rPr>
          <w:rFonts w:ascii="Times New Roman" w:hAnsi="Times New Roman" w:cs="Times New Roman"/>
          <w:sz w:val="24"/>
          <w:szCs w:val="24"/>
        </w:rPr>
        <w:t xml:space="preserve"> </w:t>
      </w:r>
      <w:r w:rsidRPr="000F0FEE">
        <w:rPr>
          <w:rFonts w:ascii="Times New Roman" w:hAnsi="Times New Roman" w:cs="Times New Roman"/>
          <w:sz w:val="24"/>
          <w:szCs w:val="24"/>
        </w:rPr>
        <w:t>objetivo</w:t>
      </w:r>
      <w:r w:rsidR="00EB176E" w:rsidRPr="000F0FEE">
        <w:rPr>
          <w:rFonts w:ascii="Times New Roman" w:hAnsi="Times New Roman" w:cs="Times New Roman"/>
          <w:sz w:val="24"/>
          <w:szCs w:val="24"/>
        </w:rPr>
        <w:t xml:space="preserve"> de esta investigación es</w:t>
      </w:r>
      <w:r w:rsidRPr="000F0FEE">
        <w:rPr>
          <w:rFonts w:ascii="Times New Roman" w:hAnsi="Times New Roman" w:cs="Times New Roman"/>
          <w:sz w:val="24"/>
          <w:szCs w:val="24"/>
        </w:rPr>
        <w:t xml:space="preserve"> mostrar si hay alguna correlación entre la incidencia por COVID-19 en Colombia</w:t>
      </w:r>
      <w:r w:rsidRPr="000F0FEE">
        <w:rPr>
          <w:rFonts w:ascii="Times New Roman" w:hAnsi="Times New Roman" w:cs="Times New Roman"/>
          <w:sz w:val="24"/>
          <w:szCs w:val="24"/>
          <w:lang w:eastAsia="es-CO"/>
        </w:rPr>
        <w:t xml:space="preserve">, y el precio del petróleo Brent durante el período comprendido entre </w:t>
      </w:r>
      <w:r w:rsidRPr="000F0FEE">
        <w:rPr>
          <w:rFonts w:ascii="Times New Roman" w:hAnsi="Times New Roman" w:cs="Times New Roman"/>
          <w:sz w:val="24"/>
          <w:szCs w:val="24"/>
        </w:rPr>
        <w:t>marzo de 2020 a diciembre de 2021. E</w:t>
      </w:r>
      <w:r w:rsidR="00732567" w:rsidRPr="000F0FEE">
        <w:rPr>
          <w:rFonts w:ascii="Times New Roman" w:hAnsi="Times New Roman" w:cs="Times New Roman"/>
          <w:sz w:val="24"/>
          <w:szCs w:val="24"/>
        </w:rPr>
        <w:t>ste</w:t>
      </w:r>
      <w:r w:rsidRPr="000F0FEE">
        <w:rPr>
          <w:rFonts w:ascii="Times New Roman" w:hAnsi="Times New Roman" w:cs="Times New Roman"/>
          <w:sz w:val="24"/>
          <w:szCs w:val="24"/>
        </w:rPr>
        <w:t xml:space="preserve"> trabajo de investigación se efectuó mediante un tipo experimental. </w:t>
      </w:r>
      <w:r w:rsidR="00F8639C" w:rsidRPr="000F0FEE">
        <w:rPr>
          <w:rFonts w:ascii="Times New Roman" w:hAnsi="Times New Roman" w:cs="Times New Roman"/>
          <w:sz w:val="24"/>
          <w:szCs w:val="24"/>
        </w:rPr>
        <w:t xml:space="preserve">Los resultados obtenidos demostraron que </w:t>
      </w:r>
      <w:r w:rsidR="009A31DA" w:rsidRPr="000F0FEE">
        <w:rPr>
          <w:rFonts w:ascii="Times New Roman" w:hAnsi="Times New Roman" w:cs="Times New Roman"/>
          <w:sz w:val="24"/>
          <w:szCs w:val="24"/>
          <w:lang w:eastAsia="es-CO"/>
        </w:rPr>
        <w:t xml:space="preserve">el p-valor de las pruebas, para las variables incidencia por </w:t>
      </w:r>
      <w:r w:rsidR="009A31DA" w:rsidRPr="000F0FEE">
        <w:rPr>
          <w:rFonts w:ascii="Times New Roman" w:hAnsi="Times New Roman" w:cs="Times New Roman"/>
          <w:sz w:val="24"/>
          <w:szCs w:val="24"/>
        </w:rPr>
        <w:t xml:space="preserve">SARS-CoV-2, y el precio del petróleo Brent </w:t>
      </w:r>
      <w:r w:rsidR="00F8639C" w:rsidRPr="000F0FEE">
        <w:rPr>
          <w:rFonts w:ascii="Times New Roman" w:hAnsi="Times New Roman" w:cs="Times New Roman"/>
          <w:sz w:val="24"/>
          <w:szCs w:val="24"/>
          <w:lang w:eastAsia="es-CO"/>
        </w:rPr>
        <w:t xml:space="preserve">fue </w:t>
      </w:r>
      <w:r w:rsidR="009A31DA" w:rsidRPr="000F0FEE">
        <w:rPr>
          <w:rFonts w:ascii="Times New Roman" w:hAnsi="Times New Roman" w:cs="Times New Roman"/>
          <w:sz w:val="24"/>
          <w:szCs w:val="24"/>
          <w:lang w:eastAsia="es-CO"/>
        </w:rPr>
        <w:t>de 0,013, es</w:t>
      </w:r>
      <w:r w:rsidR="00BD0499" w:rsidRPr="000F0FEE">
        <w:rPr>
          <w:rFonts w:ascii="Times New Roman" w:hAnsi="Times New Roman" w:cs="Times New Roman"/>
          <w:sz w:val="24"/>
          <w:szCs w:val="24"/>
          <w:lang w:eastAsia="es-CO"/>
        </w:rPr>
        <w:t>te es</w:t>
      </w:r>
      <w:r w:rsidR="009A31DA" w:rsidRPr="000F0FEE">
        <w:rPr>
          <w:rFonts w:ascii="Times New Roman" w:hAnsi="Times New Roman" w:cs="Times New Roman"/>
          <w:sz w:val="24"/>
          <w:szCs w:val="24"/>
          <w:lang w:eastAsia="es-CO"/>
        </w:rPr>
        <w:t xml:space="preserve"> menor a </w:t>
      </w:r>
      <w:r w:rsidR="00BD0499" w:rsidRPr="000F0FEE">
        <w:rPr>
          <w:rFonts w:ascii="Times New Roman" w:hAnsi="Times New Roman" w:cs="Times New Roman"/>
          <w:sz w:val="24"/>
          <w:szCs w:val="24"/>
          <w:lang w:eastAsia="es-CO"/>
        </w:rPr>
        <w:t xml:space="preserve">un </w:t>
      </w:r>
      <w:r w:rsidR="009A31DA" w:rsidRPr="000F0FEE">
        <w:rPr>
          <w:rFonts w:ascii="Times New Roman" w:hAnsi="Times New Roman" w:cs="Times New Roman"/>
          <w:sz w:val="24"/>
          <w:szCs w:val="24"/>
          <w:lang w:eastAsia="es-CO"/>
        </w:rPr>
        <w:t>α =0.05, de esta manera se acept</w:t>
      </w:r>
      <w:r w:rsidR="00F8639C" w:rsidRPr="000F0FEE">
        <w:rPr>
          <w:rFonts w:ascii="Times New Roman" w:hAnsi="Times New Roman" w:cs="Times New Roman"/>
          <w:sz w:val="24"/>
          <w:szCs w:val="24"/>
          <w:lang w:eastAsia="es-CO"/>
        </w:rPr>
        <w:t>ó</w:t>
      </w:r>
      <w:r w:rsidR="009A31DA" w:rsidRPr="000F0FEE">
        <w:rPr>
          <w:rFonts w:ascii="Times New Roman" w:hAnsi="Times New Roman" w:cs="Times New Roman"/>
          <w:sz w:val="24"/>
          <w:szCs w:val="24"/>
          <w:lang w:eastAsia="es-CO"/>
        </w:rPr>
        <w:t xml:space="preserve"> Ha, es decir la prueba de correlación de Pearson nos indica que e</w:t>
      </w:r>
      <w:r w:rsidR="009A31DA" w:rsidRPr="000F0FEE">
        <w:rPr>
          <w:rFonts w:ascii="Times New Roman" w:hAnsi="Times New Roman" w:cs="Times New Roman"/>
          <w:iCs/>
          <w:sz w:val="24"/>
          <w:szCs w:val="24"/>
        </w:rPr>
        <w:t>xiste relación</w:t>
      </w:r>
      <w:r w:rsidR="009A31DA" w:rsidRPr="000F0FEE">
        <w:rPr>
          <w:rFonts w:ascii="Times New Roman" w:hAnsi="Times New Roman" w:cs="Times New Roman"/>
          <w:sz w:val="24"/>
          <w:szCs w:val="24"/>
        </w:rPr>
        <w:t xml:space="preserve"> entre la incidencia por COVID-19 en Colombia</w:t>
      </w:r>
      <w:r w:rsidR="009A31DA" w:rsidRPr="000F0FEE">
        <w:rPr>
          <w:rFonts w:ascii="Times New Roman" w:hAnsi="Times New Roman" w:cs="Times New Roman"/>
          <w:sz w:val="24"/>
          <w:szCs w:val="24"/>
          <w:lang w:eastAsia="es-CO"/>
        </w:rPr>
        <w:t xml:space="preserve">, y el precio del petróleo Brent.  </w:t>
      </w:r>
    </w:p>
    <w:p w14:paraId="1A3B20D6" w14:textId="3A44EBEE" w:rsidR="000B773F" w:rsidRPr="000F0FEE" w:rsidRDefault="000B773F" w:rsidP="008E0FCE">
      <w:pPr>
        <w:pStyle w:val="Textoindependiente"/>
        <w:spacing w:line="360" w:lineRule="auto"/>
        <w:jc w:val="both"/>
        <w:rPr>
          <w:rFonts w:ascii="Times New Roman" w:hAnsi="Times New Roman" w:cs="Times New Roman"/>
          <w:sz w:val="24"/>
          <w:szCs w:val="24"/>
        </w:rPr>
      </w:pPr>
    </w:p>
    <w:p w14:paraId="2C97525D" w14:textId="700B9F49" w:rsidR="000D7058" w:rsidRPr="00DD21E3" w:rsidRDefault="00EB176E" w:rsidP="008E0FCE">
      <w:pPr>
        <w:spacing w:after="120" w:line="360" w:lineRule="auto"/>
        <w:jc w:val="both"/>
        <w:outlineLvl w:val="0"/>
        <w:rPr>
          <w:rFonts w:ascii="Times New Roman" w:hAnsi="Times New Roman" w:cs="Times New Roman"/>
          <w:sz w:val="24"/>
          <w:szCs w:val="24"/>
        </w:rPr>
      </w:pPr>
      <w:r w:rsidRPr="00DD21E3">
        <w:rPr>
          <w:rFonts w:ascii="Times New Roman" w:hAnsi="Times New Roman" w:cs="Times New Roman"/>
          <w:b/>
          <w:bCs/>
          <w:sz w:val="24"/>
          <w:szCs w:val="24"/>
        </w:rPr>
        <w:t>Palabras Claves</w:t>
      </w:r>
      <w:r w:rsidRPr="00DD21E3">
        <w:rPr>
          <w:rFonts w:ascii="Times New Roman" w:hAnsi="Times New Roman" w:cs="Times New Roman"/>
          <w:sz w:val="24"/>
          <w:szCs w:val="24"/>
        </w:rPr>
        <w:t xml:space="preserve">: COVID-19, </w:t>
      </w:r>
      <w:r w:rsidR="007E6862" w:rsidRPr="00DD21E3">
        <w:rPr>
          <w:rFonts w:ascii="Times New Roman" w:hAnsi="Times New Roman" w:cs="Times New Roman"/>
          <w:sz w:val="24"/>
          <w:szCs w:val="24"/>
        </w:rPr>
        <w:t xml:space="preserve">incidencia, </w:t>
      </w:r>
      <w:r w:rsidRPr="00DD21E3">
        <w:rPr>
          <w:rFonts w:ascii="Times New Roman" w:hAnsi="Times New Roman" w:cs="Times New Roman"/>
          <w:sz w:val="24"/>
          <w:szCs w:val="24"/>
        </w:rPr>
        <w:t xml:space="preserve">pandemia, </w:t>
      </w:r>
      <w:r w:rsidR="007E6862" w:rsidRPr="00DD21E3">
        <w:rPr>
          <w:rFonts w:ascii="Times New Roman" w:hAnsi="Times New Roman" w:cs="Times New Roman"/>
          <w:sz w:val="24"/>
          <w:szCs w:val="24"/>
        </w:rPr>
        <w:t>p</w:t>
      </w:r>
      <w:r w:rsidRPr="00DD21E3">
        <w:rPr>
          <w:rFonts w:ascii="Times New Roman" w:hAnsi="Times New Roman" w:cs="Times New Roman"/>
          <w:sz w:val="24"/>
          <w:szCs w:val="24"/>
        </w:rPr>
        <w:t xml:space="preserve">etróleo Brent, </w:t>
      </w:r>
      <w:r w:rsidR="007E6862" w:rsidRPr="00DD21E3">
        <w:rPr>
          <w:rFonts w:ascii="Times New Roman" w:hAnsi="Times New Roman" w:cs="Times New Roman"/>
          <w:sz w:val="24"/>
          <w:szCs w:val="24"/>
        </w:rPr>
        <w:t>c</w:t>
      </w:r>
      <w:r w:rsidRPr="00DD21E3">
        <w:rPr>
          <w:rFonts w:ascii="Times New Roman" w:hAnsi="Times New Roman" w:cs="Times New Roman"/>
          <w:sz w:val="24"/>
          <w:szCs w:val="24"/>
        </w:rPr>
        <w:t>orrelación.</w:t>
      </w:r>
    </w:p>
    <w:p w14:paraId="52A47F55" w14:textId="77777777" w:rsidR="005513F1" w:rsidRPr="00101C9A" w:rsidRDefault="005513F1" w:rsidP="00BC1324">
      <w:pPr>
        <w:spacing w:after="0" w:line="240" w:lineRule="auto"/>
        <w:rPr>
          <w:rFonts w:ascii="Times New Roman" w:hAnsi="Times New Roman" w:cs="Times New Roman"/>
          <w:sz w:val="24"/>
          <w:szCs w:val="24"/>
          <w:shd w:val="clear" w:color="auto" w:fill="FFFFFF"/>
        </w:rPr>
      </w:pPr>
      <w:r w:rsidRPr="00101C9A">
        <w:rPr>
          <w:rFonts w:ascii="Times New Roman" w:hAnsi="Times New Roman" w:cs="Times New Roman"/>
          <w:b/>
          <w:bCs/>
          <w:sz w:val="24"/>
          <w:szCs w:val="24"/>
          <w:shd w:val="clear" w:color="auto" w:fill="FFFFFF"/>
        </w:rPr>
        <w:t>Clasificación JEL</w:t>
      </w:r>
      <w:r w:rsidRPr="00101C9A">
        <w:rPr>
          <w:rFonts w:ascii="Times New Roman" w:hAnsi="Times New Roman" w:cs="Times New Roman"/>
          <w:sz w:val="24"/>
          <w:szCs w:val="24"/>
          <w:shd w:val="clear" w:color="auto" w:fill="FFFFFF"/>
        </w:rPr>
        <w:t>: C20;</w:t>
      </w:r>
      <w:r>
        <w:rPr>
          <w:rFonts w:ascii="Times New Roman" w:hAnsi="Times New Roman" w:cs="Times New Roman"/>
          <w:sz w:val="24"/>
          <w:szCs w:val="24"/>
          <w:shd w:val="clear" w:color="auto" w:fill="FFFFFF"/>
        </w:rPr>
        <w:t xml:space="preserve"> </w:t>
      </w:r>
      <w:r w:rsidRPr="00101C9A">
        <w:rPr>
          <w:rFonts w:ascii="Times New Roman" w:hAnsi="Times New Roman" w:cs="Times New Roman"/>
          <w:sz w:val="24"/>
          <w:szCs w:val="24"/>
          <w:shd w:val="clear" w:color="auto" w:fill="FFFFFF"/>
        </w:rPr>
        <w:t xml:space="preserve">C21; C22 </w:t>
      </w:r>
    </w:p>
    <w:p w14:paraId="4A906522" w14:textId="77777777" w:rsidR="005513F1" w:rsidRPr="00BC1324" w:rsidRDefault="005513F1" w:rsidP="005513F1">
      <w:pPr>
        <w:shd w:val="clear" w:color="auto" w:fill="FFFFFF"/>
        <w:rPr>
          <w:rFonts w:ascii="Times New Roman" w:eastAsia="Times New Roman" w:hAnsi="Times New Roman" w:cs="Times New Roman"/>
          <w:sz w:val="24"/>
          <w:szCs w:val="24"/>
          <w:lang w:val="en-US" w:eastAsia="es-CO"/>
        </w:rPr>
      </w:pPr>
      <w:r w:rsidRPr="00BC1324">
        <w:rPr>
          <w:rFonts w:ascii="Times New Roman" w:hAnsi="Times New Roman" w:cs="Times New Roman"/>
          <w:b/>
          <w:bCs/>
          <w:sz w:val="24"/>
          <w:szCs w:val="24"/>
          <w:shd w:val="clear" w:color="auto" w:fill="FFFFFF"/>
          <w:lang w:val="en-US"/>
        </w:rPr>
        <w:t>MSC2010</w:t>
      </w:r>
      <w:r w:rsidRPr="00BC1324">
        <w:rPr>
          <w:rFonts w:ascii="Times New Roman" w:hAnsi="Times New Roman" w:cs="Times New Roman"/>
          <w:sz w:val="24"/>
          <w:szCs w:val="24"/>
          <w:shd w:val="clear" w:color="auto" w:fill="FFFFFF"/>
          <w:lang w:val="en-US"/>
        </w:rPr>
        <w:t xml:space="preserve">: </w:t>
      </w:r>
      <w:r w:rsidRPr="00BC1324">
        <w:rPr>
          <w:rFonts w:ascii="Times New Roman" w:eastAsia="Times New Roman" w:hAnsi="Times New Roman" w:cs="Times New Roman"/>
          <w:sz w:val="25"/>
          <w:szCs w:val="25"/>
          <w:lang w:val="en-US" w:eastAsia="es-CO"/>
        </w:rPr>
        <w:t>91B82; 91B84.</w:t>
      </w:r>
    </w:p>
    <w:p w14:paraId="7B8113A2" w14:textId="1FFA5088" w:rsidR="000D7058" w:rsidRPr="000F0FEE" w:rsidRDefault="000D7058" w:rsidP="008E0FCE">
      <w:pPr>
        <w:spacing w:after="120" w:line="360" w:lineRule="auto"/>
        <w:jc w:val="both"/>
        <w:outlineLvl w:val="0"/>
        <w:rPr>
          <w:rFonts w:ascii="Times New Roman" w:hAnsi="Times New Roman" w:cs="Times New Roman"/>
          <w:sz w:val="24"/>
          <w:szCs w:val="24"/>
          <w:lang w:val="en-US"/>
        </w:rPr>
      </w:pPr>
    </w:p>
    <w:p w14:paraId="60F0324B" w14:textId="72AF69CE" w:rsidR="00371F04" w:rsidRPr="000F0FEE" w:rsidRDefault="00371F04" w:rsidP="008E0FCE">
      <w:pPr>
        <w:spacing w:after="120" w:line="360" w:lineRule="auto"/>
        <w:jc w:val="both"/>
        <w:outlineLvl w:val="0"/>
        <w:rPr>
          <w:rFonts w:ascii="Times New Roman" w:hAnsi="Times New Roman" w:cs="Times New Roman"/>
          <w:b/>
          <w:bCs/>
          <w:sz w:val="24"/>
          <w:szCs w:val="24"/>
          <w:lang w:val="en-US"/>
        </w:rPr>
      </w:pPr>
      <w:r w:rsidRPr="000F0FEE">
        <w:rPr>
          <w:rFonts w:ascii="Times New Roman" w:hAnsi="Times New Roman" w:cs="Times New Roman"/>
          <w:b/>
          <w:bCs/>
          <w:sz w:val="24"/>
          <w:szCs w:val="24"/>
          <w:lang w:val="en-US"/>
        </w:rPr>
        <w:t>Abstract</w:t>
      </w:r>
    </w:p>
    <w:p w14:paraId="65657EC5" w14:textId="4D1D1D3E" w:rsidR="00371F04" w:rsidRPr="000F0FEE" w:rsidRDefault="00371F04" w:rsidP="00371F04">
      <w:pPr>
        <w:spacing w:after="120" w:line="360" w:lineRule="auto"/>
        <w:jc w:val="both"/>
        <w:outlineLvl w:val="0"/>
        <w:rPr>
          <w:rFonts w:ascii="Times New Roman" w:hAnsi="Times New Roman" w:cs="Times New Roman"/>
          <w:sz w:val="24"/>
          <w:szCs w:val="24"/>
          <w:lang w:val="en-US"/>
        </w:rPr>
      </w:pPr>
      <w:r w:rsidRPr="000F0FEE">
        <w:rPr>
          <w:rFonts w:ascii="Times New Roman" w:hAnsi="Times New Roman" w:cs="Times New Roman"/>
          <w:sz w:val="24"/>
          <w:szCs w:val="24"/>
          <w:lang w:val="en-US"/>
        </w:rPr>
        <w:t>The COVID-19 pandemic has impacted Brent oil prices since its appearance in December 2019, this phenomenon is explained by the reduction in energy demand due to the coronavirus. The objective of this research is to show if there is any correlation between the incidence of COVID-19 in Colombia, and the price of Brent oil during the period from March 2020 to December 2021. This research work was carried out using an experimental type. The results obtained showed that the p-value of the tests, for the variables incidence by SARS-CoV-2, and the price of Brent oil was 0.013, this is less than α = 0.05, in this way Ha was accepted, in other words, the Pearson correlation test indicates that there is a relationship between the incidence of COVID-19 in Colombia and the price of Brent oil.</w:t>
      </w:r>
    </w:p>
    <w:p w14:paraId="4E7AE877" w14:textId="51878113" w:rsidR="00371F04" w:rsidRPr="000F0FEE" w:rsidRDefault="00371F04" w:rsidP="00371F04">
      <w:pPr>
        <w:spacing w:after="120" w:line="360" w:lineRule="auto"/>
        <w:jc w:val="both"/>
        <w:outlineLvl w:val="0"/>
        <w:rPr>
          <w:rFonts w:ascii="Times New Roman" w:hAnsi="Times New Roman" w:cs="Times New Roman"/>
          <w:sz w:val="24"/>
          <w:szCs w:val="24"/>
          <w:lang w:val="en-US"/>
        </w:rPr>
      </w:pPr>
      <w:r w:rsidRPr="000F0FEE">
        <w:rPr>
          <w:rFonts w:ascii="Times New Roman" w:hAnsi="Times New Roman" w:cs="Times New Roman"/>
          <w:b/>
          <w:bCs/>
          <w:sz w:val="24"/>
          <w:szCs w:val="24"/>
          <w:lang w:val="en-US"/>
        </w:rPr>
        <w:t>Key words</w:t>
      </w:r>
      <w:r w:rsidRPr="000F0FEE">
        <w:rPr>
          <w:rFonts w:ascii="Times New Roman" w:hAnsi="Times New Roman" w:cs="Times New Roman"/>
          <w:sz w:val="24"/>
          <w:szCs w:val="24"/>
          <w:lang w:val="en-US"/>
        </w:rPr>
        <w:t>: COVID-19, incidence, pandemic, Brent oil, correlation.</w:t>
      </w:r>
    </w:p>
    <w:p w14:paraId="4CC2040E" w14:textId="77777777" w:rsidR="00485276" w:rsidRDefault="00485276" w:rsidP="008E0FCE">
      <w:pPr>
        <w:spacing w:after="120" w:line="360" w:lineRule="auto"/>
        <w:jc w:val="both"/>
        <w:outlineLvl w:val="0"/>
        <w:rPr>
          <w:rFonts w:ascii="Times New Roman" w:hAnsi="Times New Roman" w:cs="Times New Roman"/>
          <w:b/>
          <w:bCs/>
          <w:sz w:val="24"/>
          <w:szCs w:val="24"/>
          <w:lang w:val="pt-BR"/>
        </w:rPr>
      </w:pPr>
    </w:p>
    <w:p w14:paraId="35EEDDB0" w14:textId="7D4EA2A1" w:rsidR="0010388F" w:rsidRPr="000F0FEE" w:rsidRDefault="0010388F" w:rsidP="008E0FCE">
      <w:pPr>
        <w:spacing w:after="120" w:line="360" w:lineRule="auto"/>
        <w:jc w:val="both"/>
        <w:outlineLvl w:val="0"/>
        <w:rPr>
          <w:rFonts w:ascii="Times New Roman" w:hAnsi="Times New Roman" w:cs="Times New Roman"/>
          <w:b/>
          <w:bCs/>
          <w:sz w:val="24"/>
          <w:szCs w:val="24"/>
          <w:lang w:val="pt-BR"/>
        </w:rPr>
      </w:pPr>
      <w:r w:rsidRPr="000F0FEE">
        <w:rPr>
          <w:rFonts w:ascii="Times New Roman" w:hAnsi="Times New Roman" w:cs="Times New Roman"/>
          <w:b/>
          <w:bCs/>
          <w:sz w:val="24"/>
          <w:szCs w:val="24"/>
          <w:lang w:val="pt-BR"/>
        </w:rPr>
        <w:t>Resumo</w:t>
      </w:r>
    </w:p>
    <w:p w14:paraId="6B881BB7" w14:textId="45A37B09" w:rsidR="0010388F" w:rsidRPr="000F0FEE" w:rsidRDefault="0010388F" w:rsidP="0010388F">
      <w:pPr>
        <w:spacing w:after="120" w:line="360" w:lineRule="auto"/>
        <w:jc w:val="both"/>
        <w:outlineLvl w:val="0"/>
        <w:rPr>
          <w:rFonts w:ascii="Times New Roman" w:hAnsi="Times New Roman" w:cs="Times New Roman"/>
          <w:sz w:val="24"/>
          <w:szCs w:val="24"/>
          <w:lang w:val="pt-BR"/>
        </w:rPr>
      </w:pPr>
      <w:r w:rsidRPr="000F0FEE">
        <w:rPr>
          <w:rFonts w:ascii="Times New Roman" w:hAnsi="Times New Roman" w:cs="Times New Roman"/>
          <w:sz w:val="24"/>
          <w:szCs w:val="24"/>
          <w:lang w:val="pt-BR"/>
        </w:rPr>
        <w:t xml:space="preserve">A pandemia do COVID-19 impactou os preços do petróleo Brent desde seu surgimento em dezembro de 2019, esse fenômeno é explicado pela redução da demanda de energia devido ao coronavírus. O objetivo desta pesquisa é mostrar se existe alguma correlação entre a incidência de COVID-19 na Colômbia e o preço do petróleo Brent durante o período de março de 2020 a dezembro de 2021. Este trabalho de pesquisa foi realizado usando um tipo experimental. Os resultados obtidos mostraram que o valor de p dos testes, para as variáveis ​​incidência por SARS-CoV-2, e o preço do petróleo Brent foi de 0,013, este é menor que </w:t>
      </w:r>
      <w:r w:rsidRPr="000F0FEE">
        <w:rPr>
          <w:rFonts w:ascii="Times New Roman" w:hAnsi="Times New Roman" w:cs="Times New Roman"/>
          <w:sz w:val="24"/>
          <w:szCs w:val="24"/>
          <w:lang w:val="en-US"/>
        </w:rPr>
        <w:t>α</w:t>
      </w:r>
      <w:r w:rsidRPr="000F0FEE">
        <w:rPr>
          <w:rFonts w:ascii="Times New Roman" w:hAnsi="Times New Roman" w:cs="Times New Roman"/>
          <w:sz w:val="24"/>
          <w:szCs w:val="24"/>
          <w:lang w:val="pt-BR"/>
        </w:rPr>
        <w:t xml:space="preserve"> = 0,05, desta forma foi aceito Ha, em outros em outras palavras, o teste de correlação de Pearson indica que existe uma relação entre a incidência de COVID-19 na Colômbia e o preço do petróleo Brent.</w:t>
      </w:r>
    </w:p>
    <w:p w14:paraId="26228958" w14:textId="2BB3CF4E" w:rsidR="0010388F" w:rsidRPr="000F0FEE" w:rsidRDefault="0010388F" w:rsidP="0010388F">
      <w:pPr>
        <w:spacing w:after="120" w:line="360" w:lineRule="auto"/>
        <w:jc w:val="both"/>
        <w:outlineLvl w:val="0"/>
        <w:rPr>
          <w:rFonts w:ascii="Times New Roman" w:hAnsi="Times New Roman" w:cs="Times New Roman"/>
          <w:sz w:val="24"/>
          <w:szCs w:val="24"/>
          <w:lang w:val="pt-BR"/>
        </w:rPr>
      </w:pPr>
      <w:r w:rsidRPr="000F0FEE">
        <w:rPr>
          <w:rFonts w:ascii="Times New Roman" w:hAnsi="Times New Roman" w:cs="Times New Roman"/>
          <w:b/>
          <w:bCs/>
          <w:sz w:val="24"/>
          <w:szCs w:val="24"/>
          <w:lang w:val="pt-BR"/>
        </w:rPr>
        <w:t>Palavras-chave</w:t>
      </w:r>
      <w:r w:rsidRPr="000F0FEE">
        <w:rPr>
          <w:rFonts w:ascii="Times New Roman" w:hAnsi="Times New Roman" w:cs="Times New Roman"/>
          <w:sz w:val="24"/>
          <w:szCs w:val="24"/>
          <w:lang w:val="pt-BR"/>
        </w:rPr>
        <w:t>: COVID-19, incidência, pandemia, óleo Brent, correlação.</w:t>
      </w:r>
    </w:p>
    <w:p w14:paraId="2C249E4E" w14:textId="77777777" w:rsidR="0010388F" w:rsidRPr="000F0FEE" w:rsidRDefault="0010388F" w:rsidP="0010388F">
      <w:pPr>
        <w:spacing w:after="120" w:line="360" w:lineRule="auto"/>
        <w:jc w:val="both"/>
        <w:outlineLvl w:val="0"/>
        <w:rPr>
          <w:rFonts w:ascii="Times New Roman" w:hAnsi="Times New Roman" w:cs="Times New Roman"/>
          <w:sz w:val="24"/>
          <w:szCs w:val="24"/>
          <w:lang w:val="pt-BR"/>
        </w:rPr>
      </w:pPr>
    </w:p>
    <w:p w14:paraId="109581F9" w14:textId="368E05D7" w:rsidR="00332999" w:rsidRPr="000F0FEE" w:rsidRDefault="00DD59BD" w:rsidP="008E0FCE">
      <w:pPr>
        <w:spacing w:after="120" w:line="360" w:lineRule="auto"/>
        <w:jc w:val="both"/>
        <w:outlineLvl w:val="0"/>
        <w:rPr>
          <w:rFonts w:ascii="Times New Roman" w:hAnsi="Times New Roman" w:cs="Times New Roman"/>
          <w:b/>
          <w:bCs/>
          <w:sz w:val="24"/>
          <w:szCs w:val="24"/>
        </w:rPr>
      </w:pPr>
      <w:r w:rsidRPr="000F0FEE">
        <w:rPr>
          <w:rFonts w:ascii="Times New Roman" w:hAnsi="Times New Roman" w:cs="Times New Roman"/>
          <w:b/>
          <w:bCs/>
          <w:sz w:val="24"/>
          <w:szCs w:val="24"/>
        </w:rPr>
        <w:t>1.</w:t>
      </w:r>
      <w:r w:rsidR="00237C05" w:rsidRPr="000F0FEE">
        <w:rPr>
          <w:rFonts w:ascii="Times New Roman" w:hAnsi="Times New Roman" w:cs="Times New Roman"/>
          <w:b/>
          <w:bCs/>
          <w:sz w:val="24"/>
          <w:szCs w:val="24"/>
        </w:rPr>
        <w:t xml:space="preserve"> </w:t>
      </w:r>
      <w:r w:rsidR="00F47200" w:rsidRPr="000F0FEE">
        <w:rPr>
          <w:rFonts w:ascii="Times New Roman" w:hAnsi="Times New Roman" w:cs="Times New Roman"/>
          <w:b/>
          <w:bCs/>
          <w:sz w:val="24"/>
          <w:szCs w:val="24"/>
        </w:rPr>
        <w:t>INTRODUCCIÓN</w:t>
      </w:r>
    </w:p>
    <w:p w14:paraId="3C5B0701" w14:textId="7543775D" w:rsidR="00373DD7" w:rsidRPr="000F0FEE" w:rsidRDefault="005004AA" w:rsidP="008E0FCE">
      <w:pPr>
        <w:spacing w:after="120" w:line="360" w:lineRule="auto"/>
        <w:jc w:val="both"/>
        <w:outlineLvl w:val="0"/>
        <w:rPr>
          <w:rFonts w:ascii="Times New Roman" w:hAnsi="Times New Roman" w:cs="Times New Roman"/>
          <w:sz w:val="24"/>
          <w:szCs w:val="24"/>
          <w:shd w:val="clear" w:color="auto" w:fill="FFFFFF"/>
        </w:rPr>
      </w:pPr>
      <w:r w:rsidRPr="000F0FEE">
        <w:rPr>
          <w:rFonts w:ascii="Times New Roman" w:hAnsi="Times New Roman" w:cs="Times New Roman"/>
          <w:sz w:val="24"/>
          <w:szCs w:val="24"/>
          <w:shd w:val="clear" w:color="auto" w:fill="FFFFFF"/>
        </w:rPr>
        <w:t xml:space="preserve">La </w:t>
      </w:r>
      <w:r w:rsidR="00ED1E44" w:rsidRPr="000F0FEE">
        <w:rPr>
          <w:rFonts w:ascii="Times New Roman" w:hAnsi="Times New Roman" w:cs="Times New Roman"/>
          <w:sz w:val="24"/>
          <w:szCs w:val="24"/>
          <w:shd w:val="clear" w:color="auto" w:fill="FFFFFF"/>
        </w:rPr>
        <w:t>enfermedad por</w:t>
      </w:r>
      <w:r w:rsidR="00373DD7" w:rsidRPr="000F0FEE">
        <w:rPr>
          <w:rFonts w:ascii="Times New Roman" w:hAnsi="Times New Roman" w:cs="Times New Roman"/>
          <w:sz w:val="24"/>
          <w:szCs w:val="24"/>
          <w:shd w:val="clear" w:color="auto" w:fill="FFFFFF"/>
        </w:rPr>
        <w:t xml:space="preserve"> </w:t>
      </w:r>
      <w:r w:rsidR="00ED1E44" w:rsidRPr="000F0FEE">
        <w:rPr>
          <w:rFonts w:ascii="Times New Roman" w:hAnsi="Times New Roman" w:cs="Times New Roman"/>
          <w:sz w:val="24"/>
          <w:szCs w:val="24"/>
          <w:shd w:val="clear" w:color="auto" w:fill="FFFFFF"/>
        </w:rPr>
        <w:t>coronavirus 2019</w:t>
      </w:r>
      <w:r w:rsidR="00373DD7" w:rsidRPr="000F0FEE">
        <w:rPr>
          <w:rFonts w:ascii="Times New Roman" w:hAnsi="Times New Roman" w:cs="Times New Roman"/>
          <w:sz w:val="24"/>
          <w:szCs w:val="24"/>
          <w:shd w:val="clear" w:color="auto" w:fill="FFFFFF"/>
        </w:rPr>
        <w:t xml:space="preserve"> (COVID-19) es una enfermedad respiratoria aguda infecciosa producida por un nuevo coronavirus.  </w:t>
      </w:r>
      <w:r w:rsidRPr="000F0FEE">
        <w:rPr>
          <w:rFonts w:ascii="Times New Roman" w:hAnsi="Times New Roman" w:cs="Times New Roman"/>
          <w:sz w:val="24"/>
          <w:szCs w:val="24"/>
          <w:shd w:val="clear" w:color="auto" w:fill="FFFFFF"/>
        </w:rPr>
        <w:t xml:space="preserve">La </w:t>
      </w:r>
      <w:r w:rsidR="00ED1E44" w:rsidRPr="000F0FEE">
        <w:rPr>
          <w:rFonts w:ascii="Times New Roman" w:hAnsi="Times New Roman" w:cs="Times New Roman"/>
          <w:sz w:val="24"/>
          <w:szCs w:val="24"/>
          <w:shd w:val="clear" w:color="auto" w:fill="FFFFFF"/>
        </w:rPr>
        <w:t>Organización Mundial de</w:t>
      </w:r>
      <w:r w:rsidR="00373DD7" w:rsidRPr="000F0FEE">
        <w:rPr>
          <w:rFonts w:ascii="Times New Roman" w:hAnsi="Times New Roman" w:cs="Times New Roman"/>
          <w:sz w:val="24"/>
          <w:szCs w:val="24"/>
          <w:shd w:val="clear" w:color="auto" w:fill="FFFFFF"/>
        </w:rPr>
        <w:t xml:space="preserve"> la </w:t>
      </w:r>
      <w:r w:rsidR="00D96CBB" w:rsidRPr="000F0FEE">
        <w:rPr>
          <w:rFonts w:ascii="Times New Roman" w:hAnsi="Times New Roman" w:cs="Times New Roman"/>
          <w:sz w:val="24"/>
          <w:szCs w:val="24"/>
          <w:shd w:val="clear" w:color="auto" w:fill="FFFFFF"/>
        </w:rPr>
        <w:t>Salud (OMS) fue conocedora de casos de neumonía</w:t>
      </w:r>
      <w:r w:rsidR="00373DD7" w:rsidRPr="000F0FEE">
        <w:rPr>
          <w:rFonts w:ascii="Times New Roman" w:hAnsi="Times New Roman" w:cs="Times New Roman"/>
          <w:sz w:val="24"/>
          <w:szCs w:val="24"/>
          <w:shd w:val="clear" w:color="auto" w:fill="FFFFFF"/>
        </w:rPr>
        <w:t xml:space="preserve"> de </w:t>
      </w:r>
      <w:r w:rsidR="00D96CBB" w:rsidRPr="000F0FEE">
        <w:rPr>
          <w:rFonts w:ascii="Times New Roman" w:hAnsi="Times New Roman" w:cs="Times New Roman"/>
          <w:sz w:val="24"/>
          <w:szCs w:val="24"/>
          <w:shd w:val="clear" w:color="auto" w:fill="FFFFFF"/>
        </w:rPr>
        <w:t>etiología microbiana</w:t>
      </w:r>
      <w:r w:rsidR="00373DD7" w:rsidRPr="000F0FEE">
        <w:rPr>
          <w:rFonts w:ascii="Times New Roman" w:hAnsi="Times New Roman" w:cs="Times New Roman"/>
          <w:sz w:val="24"/>
          <w:szCs w:val="24"/>
          <w:shd w:val="clear" w:color="auto" w:fill="FFFFFF"/>
        </w:rPr>
        <w:t xml:space="preserve"> desconocida asociados con la ciudad de Wuhan, provincia de Hubei, China, el 31 de diciembre 2019. </w:t>
      </w:r>
      <w:r w:rsidR="00ED1E44" w:rsidRPr="000F0FEE">
        <w:rPr>
          <w:rFonts w:ascii="Times New Roman" w:hAnsi="Times New Roman" w:cs="Times New Roman"/>
          <w:sz w:val="24"/>
          <w:szCs w:val="24"/>
          <w:shd w:val="clear" w:color="auto" w:fill="FFFFFF"/>
        </w:rPr>
        <w:t xml:space="preserve">La </w:t>
      </w:r>
      <w:r w:rsidR="00D96CBB" w:rsidRPr="000F0FEE">
        <w:rPr>
          <w:rFonts w:ascii="Times New Roman" w:hAnsi="Times New Roman" w:cs="Times New Roman"/>
          <w:sz w:val="24"/>
          <w:szCs w:val="24"/>
          <w:shd w:val="clear" w:color="auto" w:fill="FFFFFF"/>
        </w:rPr>
        <w:t>OMS informó más tarde que se había manifestado un</w:t>
      </w:r>
      <w:r w:rsidR="00373DD7" w:rsidRPr="000F0FEE">
        <w:rPr>
          <w:rFonts w:ascii="Times New Roman" w:hAnsi="Times New Roman" w:cs="Times New Roman"/>
          <w:sz w:val="24"/>
          <w:szCs w:val="24"/>
          <w:shd w:val="clear" w:color="auto" w:fill="FFFFFF"/>
        </w:rPr>
        <w:t xml:space="preserve">   nuevo   coronavirus   en   muestras   tomadas   de   estos   pacientes</w:t>
      </w:r>
      <w:r w:rsidR="008A5CC1" w:rsidRPr="000F0FEE">
        <w:rPr>
          <w:rFonts w:ascii="Times New Roman" w:hAnsi="Times New Roman" w:cs="Times New Roman"/>
          <w:sz w:val="24"/>
          <w:szCs w:val="24"/>
          <w:shd w:val="clear" w:color="auto" w:fill="FFFFFF"/>
        </w:rPr>
        <w:t xml:space="preserve"> (BMJ, 2019)</w:t>
      </w:r>
      <w:r w:rsidR="00373DD7" w:rsidRPr="000F0FEE">
        <w:rPr>
          <w:rFonts w:ascii="Times New Roman" w:hAnsi="Times New Roman" w:cs="Times New Roman"/>
          <w:sz w:val="24"/>
          <w:szCs w:val="24"/>
          <w:shd w:val="clear" w:color="auto" w:fill="FFFFFF"/>
        </w:rPr>
        <w:t xml:space="preserve">.  </w:t>
      </w:r>
      <w:r w:rsidR="00994C70" w:rsidRPr="000F0FEE">
        <w:rPr>
          <w:rFonts w:ascii="Times New Roman" w:hAnsi="Times New Roman" w:cs="Times New Roman"/>
          <w:sz w:val="24"/>
          <w:szCs w:val="24"/>
          <w:shd w:val="clear" w:color="auto" w:fill="FFFFFF"/>
        </w:rPr>
        <w:t>Desde entonces</w:t>
      </w:r>
      <w:r w:rsidR="00D96CBB" w:rsidRPr="000F0FEE">
        <w:rPr>
          <w:rFonts w:ascii="Times New Roman" w:hAnsi="Times New Roman" w:cs="Times New Roman"/>
          <w:sz w:val="24"/>
          <w:szCs w:val="24"/>
          <w:shd w:val="clear" w:color="auto" w:fill="FFFFFF"/>
        </w:rPr>
        <w:t xml:space="preserve">, </w:t>
      </w:r>
      <w:r w:rsidR="000D7058" w:rsidRPr="000F0FEE">
        <w:rPr>
          <w:rFonts w:ascii="Times New Roman" w:hAnsi="Times New Roman" w:cs="Times New Roman"/>
          <w:sz w:val="24"/>
          <w:szCs w:val="24"/>
          <w:shd w:val="clear" w:color="auto" w:fill="FFFFFF"/>
        </w:rPr>
        <w:t>la epidemia</w:t>
      </w:r>
      <w:r w:rsidR="00373DD7" w:rsidRPr="000F0FEE">
        <w:rPr>
          <w:rFonts w:ascii="Times New Roman" w:hAnsi="Times New Roman" w:cs="Times New Roman"/>
          <w:sz w:val="24"/>
          <w:szCs w:val="24"/>
          <w:shd w:val="clear" w:color="auto" w:fill="FFFFFF"/>
        </w:rPr>
        <w:t xml:space="preserve"> se </w:t>
      </w:r>
      <w:r w:rsidR="00780034" w:rsidRPr="000F0FEE">
        <w:rPr>
          <w:rFonts w:ascii="Times New Roman" w:hAnsi="Times New Roman" w:cs="Times New Roman"/>
          <w:sz w:val="24"/>
          <w:szCs w:val="24"/>
          <w:shd w:val="clear" w:color="auto" w:fill="FFFFFF"/>
        </w:rPr>
        <w:t>ha acrecentado</w:t>
      </w:r>
      <w:r w:rsidR="00373DD7" w:rsidRPr="000F0FEE">
        <w:rPr>
          <w:rFonts w:ascii="Times New Roman" w:hAnsi="Times New Roman" w:cs="Times New Roman"/>
          <w:sz w:val="24"/>
          <w:szCs w:val="24"/>
          <w:shd w:val="clear" w:color="auto" w:fill="FFFFFF"/>
        </w:rPr>
        <w:t xml:space="preserve"> </w:t>
      </w:r>
      <w:r w:rsidR="008A5CC1" w:rsidRPr="000F0FEE">
        <w:rPr>
          <w:rFonts w:ascii="Times New Roman" w:hAnsi="Times New Roman" w:cs="Times New Roman"/>
          <w:sz w:val="24"/>
          <w:szCs w:val="24"/>
          <w:shd w:val="clear" w:color="auto" w:fill="FFFFFF"/>
        </w:rPr>
        <w:t>y se</w:t>
      </w:r>
      <w:r w:rsidR="00373DD7" w:rsidRPr="000F0FEE">
        <w:rPr>
          <w:rFonts w:ascii="Times New Roman" w:hAnsi="Times New Roman" w:cs="Times New Roman"/>
          <w:sz w:val="24"/>
          <w:szCs w:val="24"/>
          <w:shd w:val="clear" w:color="auto" w:fill="FFFFFF"/>
        </w:rPr>
        <w:t xml:space="preserve"> </w:t>
      </w:r>
      <w:r w:rsidR="008A5CC1" w:rsidRPr="000F0FEE">
        <w:rPr>
          <w:rFonts w:ascii="Times New Roman" w:hAnsi="Times New Roman" w:cs="Times New Roman"/>
          <w:sz w:val="24"/>
          <w:szCs w:val="24"/>
          <w:shd w:val="clear" w:color="auto" w:fill="FFFFFF"/>
        </w:rPr>
        <w:t>ha extendido</w:t>
      </w:r>
      <w:r w:rsidR="00373DD7" w:rsidRPr="000F0FEE">
        <w:rPr>
          <w:rFonts w:ascii="Times New Roman" w:hAnsi="Times New Roman" w:cs="Times New Roman"/>
          <w:sz w:val="24"/>
          <w:szCs w:val="24"/>
          <w:shd w:val="clear" w:color="auto" w:fill="FFFFFF"/>
        </w:rPr>
        <w:t xml:space="preserve"> </w:t>
      </w:r>
      <w:r w:rsidR="00577F1B" w:rsidRPr="000F0FEE">
        <w:rPr>
          <w:rFonts w:ascii="Times New Roman" w:hAnsi="Times New Roman" w:cs="Times New Roman"/>
          <w:sz w:val="24"/>
          <w:szCs w:val="24"/>
          <w:shd w:val="clear" w:color="auto" w:fill="FFFFFF"/>
        </w:rPr>
        <w:t>velozmente por</w:t>
      </w:r>
      <w:r w:rsidR="00373DD7" w:rsidRPr="000F0FEE">
        <w:rPr>
          <w:rFonts w:ascii="Times New Roman" w:hAnsi="Times New Roman" w:cs="Times New Roman"/>
          <w:sz w:val="24"/>
          <w:szCs w:val="24"/>
          <w:shd w:val="clear" w:color="auto" w:fill="FFFFFF"/>
        </w:rPr>
        <w:t xml:space="preserve"> </w:t>
      </w:r>
      <w:r w:rsidR="00453A4F" w:rsidRPr="000F0FEE">
        <w:rPr>
          <w:rFonts w:ascii="Times New Roman" w:hAnsi="Times New Roman" w:cs="Times New Roman"/>
          <w:sz w:val="24"/>
          <w:szCs w:val="24"/>
          <w:shd w:val="clear" w:color="auto" w:fill="FFFFFF"/>
        </w:rPr>
        <w:t>todo el</w:t>
      </w:r>
      <w:r w:rsidR="00373DD7" w:rsidRPr="000F0FEE">
        <w:rPr>
          <w:rFonts w:ascii="Times New Roman" w:hAnsi="Times New Roman" w:cs="Times New Roman"/>
          <w:sz w:val="24"/>
          <w:szCs w:val="24"/>
          <w:shd w:val="clear" w:color="auto" w:fill="FFFFFF"/>
        </w:rPr>
        <w:t xml:space="preserve"> </w:t>
      </w:r>
      <w:r w:rsidR="00DD59BD" w:rsidRPr="000F0FEE">
        <w:rPr>
          <w:rFonts w:ascii="Times New Roman" w:hAnsi="Times New Roman" w:cs="Times New Roman"/>
          <w:sz w:val="24"/>
          <w:szCs w:val="24"/>
          <w:shd w:val="clear" w:color="auto" w:fill="FFFFFF"/>
        </w:rPr>
        <w:t>mundo, y</w:t>
      </w:r>
      <w:r w:rsidR="00373DD7" w:rsidRPr="000F0FEE">
        <w:rPr>
          <w:rFonts w:ascii="Times New Roman" w:hAnsi="Times New Roman" w:cs="Times New Roman"/>
          <w:sz w:val="24"/>
          <w:szCs w:val="24"/>
          <w:shd w:val="clear" w:color="auto" w:fill="FFFFFF"/>
        </w:rPr>
        <w:t xml:space="preserve"> </w:t>
      </w:r>
      <w:r w:rsidR="00237C05" w:rsidRPr="000F0FEE">
        <w:rPr>
          <w:rFonts w:ascii="Times New Roman" w:hAnsi="Times New Roman" w:cs="Times New Roman"/>
          <w:sz w:val="24"/>
          <w:szCs w:val="24"/>
          <w:shd w:val="clear" w:color="auto" w:fill="FFFFFF"/>
        </w:rPr>
        <w:t>la OMS</w:t>
      </w:r>
      <w:r w:rsidR="00373DD7" w:rsidRPr="000F0FEE">
        <w:rPr>
          <w:rFonts w:ascii="Times New Roman" w:hAnsi="Times New Roman" w:cs="Times New Roman"/>
          <w:sz w:val="24"/>
          <w:szCs w:val="24"/>
          <w:shd w:val="clear" w:color="auto" w:fill="FFFFFF"/>
        </w:rPr>
        <w:t xml:space="preserve"> primero declaró una emergencia </w:t>
      </w:r>
      <w:r w:rsidR="001278B6" w:rsidRPr="000F0FEE">
        <w:rPr>
          <w:rFonts w:ascii="Times New Roman" w:hAnsi="Times New Roman" w:cs="Times New Roman"/>
          <w:sz w:val="24"/>
          <w:szCs w:val="24"/>
          <w:shd w:val="clear" w:color="auto" w:fill="FFFFFF"/>
        </w:rPr>
        <w:t>de salud</w:t>
      </w:r>
      <w:r w:rsidR="00373DD7" w:rsidRPr="000F0FEE">
        <w:rPr>
          <w:rFonts w:ascii="Times New Roman" w:hAnsi="Times New Roman" w:cs="Times New Roman"/>
          <w:sz w:val="24"/>
          <w:szCs w:val="24"/>
          <w:shd w:val="clear" w:color="auto" w:fill="FFFFFF"/>
        </w:rPr>
        <w:t xml:space="preserve"> pública de jerarquía internacional el 30</w:t>
      </w:r>
      <w:r w:rsidR="00237C05" w:rsidRPr="000F0FEE">
        <w:rPr>
          <w:rFonts w:ascii="Times New Roman" w:hAnsi="Times New Roman" w:cs="Times New Roman"/>
          <w:sz w:val="24"/>
          <w:szCs w:val="24"/>
          <w:shd w:val="clear" w:color="auto" w:fill="FFFFFF"/>
        </w:rPr>
        <w:t xml:space="preserve"> </w:t>
      </w:r>
      <w:r w:rsidR="00373DD7" w:rsidRPr="000F0FEE">
        <w:rPr>
          <w:rFonts w:ascii="Times New Roman" w:hAnsi="Times New Roman" w:cs="Times New Roman"/>
          <w:sz w:val="24"/>
          <w:szCs w:val="24"/>
          <w:shd w:val="clear" w:color="auto" w:fill="FFFFFF"/>
        </w:rPr>
        <w:t xml:space="preserve">de </w:t>
      </w:r>
      <w:r w:rsidR="001278B6" w:rsidRPr="000F0FEE">
        <w:rPr>
          <w:rFonts w:ascii="Times New Roman" w:hAnsi="Times New Roman" w:cs="Times New Roman"/>
          <w:sz w:val="24"/>
          <w:szCs w:val="24"/>
          <w:shd w:val="clear" w:color="auto" w:fill="FFFFFF"/>
        </w:rPr>
        <w:t>enero 2020</w:t>
      </w:r>
      <w:r w:rsidR="00373DD7" w:rsidRPr="000F0FEE">
        <w:rPr>
          <w:rFonts w:ascii="Times New Roman" w:hAnsi="Times New Roman" w:cs="Times New Roman"/>
          <w:sz w:val="24"/>
          <w:szCs w:val="24"/>
          <w:shd w:val="clear" w:color="auto" w:fill="FFFFFF"/>
        </w:rPr>
        <w:t xml:space="preserve"> </w:t>
      </w:r>
      <w:r w:rsidR="00704A2F" w:rsidRPr="000F0FEE">
        <w:rPr>
          <w:rFonts w:ascii="Times New Roman" w:hAnsi="Times New Roman" w:cs="Times New Roman"/>
          <w:sz w:val="24"/>
          <w:szCs w:val="24"/>
          <w:shd w:val="clear" w:color="auto" w:fill="FFFFFF"/>
        </w:rPr>
        <w:t>y luego</w:t>
      </w:r>
      <w:r w:rsidR="00373DD7" w:rsidRPr="000F0FEE">
        <w:rPr>
          <w:rFonts w:ascii="Times New Roman" w:hAnsi="Times New Roman" w:cs="Times New Roman"/>
          <w:sz w:val="24"/>
          <w:szCs w:val="24"/>
          <w:shd w:val="clear" w:color="auto" w:fill="FFFFFF"/>
        </w:rPr>
        <w:t xml:space="preserve"> la declaró formalmente como pandemia el 11 de marzo 2020.1</w:t>
      </w:r>
      <w:r w:rsidR="00AC35D3" w:rsidRPr="000F0FEE">
        <w:rPr>
          <w:rFonts w:ascii="Times New Roman" w:hAnsi="Times New Roman" w:cs="Times New Roman"/>
          <w:sz w:val="24"/>
          <w:szCs w:val="24"/>
          <w:shd w:val="clear" w:color="auto" w:fill="FFFFFF"/>
        </w:rPr>
        <w:t xml:space="preserve"> e han reconocido casos </w:t>
      </w:r>
      <w:r w:rsidR="000B5C6B" w:rsidRPr="000F0FEE">
        <w:rPr>
          <w:rFonts w:ascii="Times New Roman" w:hAnsi="Times New Roman" w:cs="Times New Roman"/>
          <w:sz w:val="24"/>
          <w:szCs w:val="24"/>
          <w:shd w:val="clear" w:color="auto" w:fill="FFFFFF"/>
        </w:rPr>
        <w:t>en todos</w:t>
      </w:r>
      <w:r w:rsidR="00AC35D3" w:rsidRPr="000F0FEE">
        <w:rPr>
          <w:rFonts w:ascii="Times New Roman" w:hAnsi="Times New Roman" w:cs="Times New Roman"/>
          <w:sz w:val="24"/>
          <w:szCs w:val="24"/>
          <w:shd w:val="clear" w:color="auto" w:fill="FFFFFF"/>
        </w:rPr>
        <w:t xml:space="preserve"> los </w:t>
      </w:r>
      <w:r w:rsidR="000B773F" w:rsidRPr="000F0FEE">
        <w:rPr>
          <w:rFonts w:ascii="Times New Roman" w:hAnsi="Times New Roman" w:cs="Times New Roman"/>
          <w:sz w:val="24"/>
          <w:szCs w:val="24"/>
          <w:shd w:val="clear" w:color="auto" w:fill="FFFFFF"/>
        </w:rPr>
        <w:t>continentes y</w:t>
      </w:r>
      <w:r w:rsidR="00AC35D3" w:rsidRPr="000F0FEE">
        <w:rPr>
          <w:rFonts w:ascii="Times New Roman" w:hAnsi="Times New Roman" w:cs="Times New Roman"/>
          <w:sz w:val="24"/>
          <w:szCs w:val="24"/>
          <w:shd w:val="clear" w:color="auto" w:fill="FFFFFF"/>
        </w:rPr>
        <w:t xml:space="preserve"> el 6 </w:t>
      </w:r>
      <w:r w:rsidR="000B773F" w:rsidRPr="000F0FEE">
        <w:rPr>
          <w:rFonts w:ascii="Times New Roman" w:hAnsi="Times New Roman" w:cs="Times New Roman"/>
          <w:sz w:val="24"/>
          <w:szCs w:val="24"/>
          <w:shd w:val="clear" w:color="auto" w:fill="FFFFFF"/>
        </w:rPr>
        <w:t>de marzo</w:t>
      </w:r>
      <w:r w:rsidR="00AC35D3" w:rsidRPr="000F0FEE">
        <w:rPr>
          <w:rFonts w:ascii="Times New Roman" w:hAnsi="Times New Roman" w:cs="Times New Roman"/>
          <w:sz w:val="24"/>
          <w:szCs w:val="24"/>
          <w:shd w:val="clear" w:color="auto" w:fill="FFFFFF"/>
        </w:rPr>
        <w:t xml:space="preserve"> se confirmó el primero en Colombia</w:t>
      </w:r>
      <w:r w:rsidR="008A5CC1" w:rsidRPr="000F0FEE">
        <w:rPr>
          <w:rFonts w:ascii="Times New Roman" w:hAnsi="Times New Roman" w:cs="Times New Roman"/>
          <w:sz w:val="24"/>
          <w:szCs w:val="24"/>
          <w:shd w:val="clear" w:color="auto" w:fill="FFFFFF"/>
        </w:rPr>
        <w:t xml:space="preserve"> (Díaz, 2021)</w:t>
      </w:r>
      <w:r w:rsidR="00AC35D3" w:rsidRPr="000F0FEE">
        <w:rPr>
          <w:rFonts w:ascii="Times New Roman" w:hAnsi="Times New Roman" w:cs="Times New Roman"/>
          <w:sz w:val="24"/>
          <w:szCs w:val="24"/>
          <w:shd w:val="clear" w:color="auto" w:fill="FFFFFF"/>
        </w:rPr>
        <w:t>.</w:t>
      </w:r>
    </w:p>
    <w:p w14:paraId="0C9F93AA" w14:textId="73FED06A" w:rsidR="00AC35D3" w:rsidRPr="000F0FEE" w:rsidRDefault="00403C64" w:rsidP="008E0FCE">
      <w:pPr>
        <w:spacing w:after="120" w:line="360" w:lineRule="auto"/>
        <w:jc w:val="both"/>
        <w:outlineLvl w:val="0"/>
        <w:rPr>
          <w:rFonts w:ascii="Times New Roman" w:hAnsi="Times New Roman" w:cs="Times New Roman"/>
          <w:sz w:val="24"/>
          <w:szCs w:val="24"/>
          <w:shd w:val="clear" w:color="auto" w:fill="FFFFFF"/>
        </w:rPr>
      </w:pPr>
      <w:r w:rsidRPr="000F0FEE">
        <w:rPr>
          <w:rFonts w:ascii="Times New Roman" w:hAnsi="Times New Roman" w:cs="Times New Roman"/>
          <w:sz w:val="24"/>
          <w:szCs w:val="24"/>
          <w:shd w:val="clear" w:color="auto" w:fill="FFFFFF"/>
        </w:rPr>
        <w:t>Ahora, l</w:t>
      </w:r>
      <w:r w:rsidRPr="000F0FEE">
        <w:rPr>
          <w:rFonts w:ascii="Times New Roman" w:hAnsi="Times New Roman" w:cs="Times New Roman"/>
          <w:sz w:val="24"/>
          <w:szCs w:val="24"/>
        </w:rPr>
        <w:t>a pandemia del C</w:t>
      </w:r>
      <w:r w:rsidR="00ED1E44" w:rsidRPr="000F0FEE">
        <w:rPr>
          <w:rFonts w:ascii="Times New Roman" w:hAnsi="Times New Roman" w:cs="Times New Roman"/>
          <w:sz w:val="24"/>
          <w:szCs w:val="24"/>
        </w:rPr>
        <w:t>OVID</w:t>
      </w:r>
      <w:r w:rsidRPr="000F0FEE">
        <w:rPr>
          <w:rFonts w:ascii="Times New Roman" w:hAnsi="Times New Roman" w:cs="Times New Roman"/>
          <w:sz w:val="24"/>
          <w:szCs w:val="24"/>
        </w:rPr>
        <w:t xml:space="preserve">-19 ha impactado los precios del petróleo. El 20 de abril de 2020 el West Texas Intermediate (WTI) cerró en terreno negativo por primera vez en su historia mientras que el petróleo Brent rozó, en la misma semana, mínimos de 1999. La baja en la demanda, producto de las medidas de confinamiento, el exceso de oferta y la poca capacidad de almacenamiento se perfilan como algunas causas de la situación. </w:t>
      </w:r>
      <w:r w:rsidR="00ED1E44" w:rsidRPr="000F0FEE">
        <w:rPr>
          <w:rFonts w:ascii="Times New Roman" w:hAnsi="Times New Roman" w:cs="Times New Roman"/>
          <w:sz w:val="24"/>
          <w:szCs w:val="24"/>
        </w:rPr>
        <w:t>(FRANCE</w:t>
      </w:r>
      <w:r w:rsidRPr="000F0FEE">
        <w:rPr>
          <w:rFonts w:ascii="Times New Roman" w:hAnsi="Times New Roman" w:cs="Times New Roman"/>
          <w:sz w:val="24"/>
          <w:szCs w:val="24"/>
        </w:rPr>
        <w:t xml:space="preserve"> 24, 2020).</w:t>
      </w:r>
    </w:p>
    <w:p w14:paraId="0C0075EC" w14:textId="78832D83" w:rsidR="00ED1E44" w:rsidRPr="000F0FEE" w:rsidRDefault="00ED1E44" w:rsidP="008E0FCE">
      <w:pPr>
        <w:spacing w:line="360" w:lineRule="auto"/>
        <w:jc w:val="both"/>
        <w:rPr>
          <w:rFonts w:ascii="Times New Roman" w:hAnsi="Times New Roman" w:cs="Times New Roman"/>
          <w:sz w:val="24"/>
          <w:szCs w:val="24"/>
        </w:rPr>
      </w:pPr>
      <w:r w:rsidRPr="000F0FEE">
        <w:rPr>
          <w:rFonts w:ascii="Times New Roman" w:hAnsi="Times New Roman" w:cs="Times New Roman"/>
          <w:sz w:val="24"/>
          <w:szCs w:val="24"/>
        </w:rPr>
        <w:t xml:space="preserve">Ya el 10 de agosto de 2021, los precios de crudo Brent sumaban US$1,06, o 1,5%, a US$70,10 el barril a las 1134 GMT; </w:t>
      </w:r>
      <w:r w:rsidR="00EF1DEE" w:rsidRPr="000F0FEE">
        <w:rPr>
          <w:rFonts w:ascii="Times New Roman" w:hAnsi="Times New Roman" w:cs="Times New Roman"/>
          <w:sz w:val="24"/>
          <w:szCs w:val="24"/>
        </w:rPr>
        <w:t>simultáneamente</w:t>
      </w:r>
      <w:r w:rsidRPr="000F0FEE">
        <w:rPr>
          <w:rFonts w:ascii="Times New Roman" w:hAnsi="Times New Roman" w:cs="Times New Roman"/>
          <w:sz w:val="24"/>
          <w:szCs w:val="24"/>
        </w:rPr>
        <w:t xml:space="preserve"> los futuros del crudo WTI de Estados Unidos ganaban US$1,29, o 1,9%, a US$67,77 el barril. </w:t>
      </w:r>
      <w:r w:rsidR="00557B6E" w:rsidRPr="000F0FEE">
        <w:rPr>
          <w:rFonts w:ascii="Times New Roman" w:hAnsi="Times New Roman" w:cs="Times New Roman"/>
          <w:sz w:val="24"/>
          <w:szCs w:val="24"/>
        </w:rPr>
        <w:t>(La República, 2021)</w:t>
      </w:r>
    </w:p>
    <w:p w14:paraId="08A7E580" w14:textId="54013AAC" w:rsidR="003E344A" w:rsidRPr="000F0FEE" w:rsidRDefault="00ED1E44" w:rsidP="008E0FCE">
      <w:pPr>
        <w:spacing w:line="360" w:lineRule="auto"/>
        <w:jc w:val="both"/>
        <w:rPr>
          <w:rFonts w:ascii="Times New Roman" w:hAnsi="Times New Roman" w:cs="Times New Roman"/>
          <w:sz w:val="24"/>
          <w:szCs w:val="24"/>
        </w:rPr>
      </w:pPr>
      <w:r w:rsidRPr="000F0FEE">
        <w:rPr>
          <w:rFonts w:ascii="Times New Roman" w:hAnsi="Times New Roman" w:cs="Times New Roman"/>
          <w:sz w:val="24"/>
          <w:szCs w:val="24"/>
        </w:rPr>
        <w:t xml:space="preserve">Los precios del petróleo </w:t>
      </w:r>
      <w:r w:rsidR="00EF1DEE" w:rsidRPr="000F0FEE">
        <w:rPr>
          <w:rFonts w:ascii="Times New Roman" w:hAnsi="Times New Roman" w:cs="Times New Roman"/>
          <w:sz w:val="24"/>
          <w:szCs w:val="24"/>
        </w:rPr>
        <w:t>trepaban</w:t>
      </w:r>
      <w:r w:rsidRPr="000F0FEE">
        <w:rPr>
          <w:rFonts w:ascii="Times New Roman" w:hAnsi="Times New Roman" w:cs="Times New Roman"/>
          <w:sz w:val="24"/>
          <w:szCs w:val="24"/>
        </w:rPr>
        <w:t xml:space="preserve"> el </w:t>
      </w:r>
      <w:r w:rsidR="008D7103" w:rsidRPr="000F0FEE">
        <w:rPr>
          <w:rFonts w:ascii="Times New Roman" w:hAnsi="Times New Roman" w:cs="Times New Roman"/>
          <w:sz w:val="24"/>
          <w:szCs w:val="24"/>
        </w:rPr>
        <w:t>10 de agosto a</w:t>
      </w:r>
      <w:r w:rsidRPr="000F0FEE">
        <w:rPr>
          <w:rFonts w:ascii="Times New Roman" w:hAnsi="Times New Roman" w:cs="Times New Roman"/>
          <w:sz w:val="24"/>
          <w:szCs w:val="24"/>
        </w:rPr>
        <w:t xml:space="preserve"> más de 1 dólar por barril y </w:t>
      </w:r>
      <w:r w:rsidR="00EF1DEE" w:rsidRPr="000F0FEE">
        <w:rPr>
          <w:rFonts w:ascii="Times New Roman" w:hAnsi="Times New Roman" w:cs="Times New Roman"/>
          <w:sz w:val="24"/>
          <w:szCs w:val="24"/>
        </w:rPr>
        <w:t>recobraban</w:t>
      </w:r>
      <w:r w:rsidRPr="000F0FEE">
        <w:rPr>
          <w:rFonts w:ascii="Times New Roman" w:hAnsi="Times New Roman" w:cs="Times New Roman"/>
          <w:sz w:val="24"/>
          <w:szCs w:val="24"/>
        </w:rPr>
        <w:t xml:space="preserve"> parte de las </w:t>
      </w:r>
      <w:r w:rsidR="00EF1DEE" w:rsidRPr="000F0FEE">
        <w:rPr>
          <w:rFonts w:ascii="Times New Roman" w:hAnsi="Times New Roman" w:cs="Times New Roman"/>
          <w:sz w:val="24"/>
          <w:szCs w:val="24"/>
        </w:rPr>
        <w:t>mermas</w:t>
      </w:r>
      <w:r w:rsidRPr="000F0FEE">
        <w:rPr>
          <w:rFonts w:ascii="Times New Roman" w:hAnsi="Times New Roman" w:cs="Times New Roman"/>
          <w:sz w:val="24"/>
          <w:szCs w:val="24"/>
        </w:rPr>
        <w:t xml:space="preserve"> de la sesión anterior, ya que el aumento de la demanda en Europa y Estados Unidos se imponía sobre las preocupaciones en torno al </w:t>
      </w:r>
      <w:r w:rsidR="00EF1DEE" w:rsidRPr="000F0FEE">
        <w:rPr>
          <w:rFonts w:ascii="Times New Roman" w:hAnsi="Times New Roman" w:cs="Times New Roman"/>
          <w:sz w:val="24"/>
          <w:szCs w:val="24"/>
        </w:rPr>
        <w:t>aumento</w:t>
      </w:r>
      <w:r w:rsidRPr="000F0FEE">
        <w:rPr>
          <w:rFonts w:ascii="Times New Roman" w:hAnsi="Times New Roman" w:cs="Times New Roman"/>
          <w:sz w:val="24"/>
          <w:szCs w:val="24"/>
        </w:rPr>
        <w:t xml:space="preserve"> de casos de COVID-19 en Asia.</w:t>
      </w:r>
      <w:r w:rsidR="00E13153" w:rsidRPr="000F0FEE">
        <w:rPr>
          <w:rFonts w:ascii="Times New Roman" w:hAnsi="Times New Roman" w:cs="Times New Roman"/>
          <w:sz w:val="24"/>
          <w:szCs w:val="24"/>
        </w:rPr>
        <w:t xml:space="preserve"> (La República, </w:t>
      </w:r>
      <w:r w:rsidR="00FB4C5B" w:rsidRPr="000F0FEE">
        <w:rPr>
          <w:rFonts w:ascii="Times New Roman" w:hAnsi="Times New Roman" w:cs="Times New Roman"/>
          <w:sz w:val="24"/>
          <w:szCs w:val="24"/>
        </w:rPr>
        <w:t>2021)</w:t>
      </w:r>
      <w:r w:rsidR="00CF06F4" w:rsidRPr="000F0FEE">
        <w:rPr>
          <w:rFonts w:ascii="Times New Roman" w:hAnsi="Times New Roman" w:cs="Times New Roman"/>
          <w:sz w:val="24"/>
          <w:szCs w:val="24"/>
        </w:rPr>
        <w:t>.</w:t>
      </w:r>
      <w:r w:rsidR="00FB4C5B" w:rsidRPr="000F0FEE">
        <w:rPr>
          <w:rFonts w:ascii="Times New Roman" w:hAnsi="Times New Roman" w:cs="Times New Roman"/>
          <w:sz w:val="24"/>
          <w:szCs w:val="24"/>
          <w:shd w:val="clear" w:color="auto" w:fill="FFFFFF"/>
        </w:rPr>
        <w:t xml:space="preserve"> El</w:t>
      </w:r>
      <w:r w:rsidR="00CE0894" w:rsidRPr="000F0FEE">
        <w:rPr>
          <w:rFonts w:ascii="Times New Roman" w:hAnsi="Times New Roman" w:cs="Times New Roman"/>
          <w:sz w:val="24"/>
          <w:szCs w:val="24"/>
          <w:shd w:val="clear" w:color="auto" w:fill="FFFFFF"/>
        </w:rPr>
        <w:t xml:space="preserve"> precio del barril de petróleo Brent para entrega en enero</w:t>
      </w:r>
      <w:r w:rsidR="00FB4C5B" w:rsidRPr="000F0FEE">
        <w:rPr>
          <w:rFonts w:ascii="Times New Roman" w:hAnsi="Times New Roman" w:cs="Times New Roman"/>
          <w:sz w:val="24"/>
          <w:szCs w:val="24"/>
          <w:shd w:val="clear" w:color="auto" w:fill="FFFFFF"/>
        </w:rPr>
        <w:t xml:space="preserve"> de 2022</w:t>
      </w:r>
      <w:r w:rsidR="00CE0894" w:rsidRPr="000F0FEE">
        <w:rPr>
          <w:rFonts w:ascii="Times New Roman" w:hAnsi="Times New Roman" w:cs="Times New Roman"/>
          <w:sz w:val="24"/>
          <w:szCs w:val="24"/>
          <w:shd w:val="clear" w:color="auto" w:fill="FFFFFF"/>
        </w:rPr>
        <w:t xml:space="preserve"> sigue una </w:t>
      </w:r>
      <w:r w:rsidR="00FB4C5B" w:rsidRPr="000F0FEE">
        <w:rPr>
          <w:rFonts w:ascii="Times New Roman" w:hAnsi="Times New Roman" w:cs="Times New Roman"/>
          <w:sz w:val="24"/>
          <w:szCs w:val="24"/>
          <w:shd w:val="clear" w:color="auto" w:fill="FFFFFF"/>
        </w:rPr>
        <w:t>inclinación</w:t>
      </w:r>
      <w:r w:rsidR="00CE0894" w:rsidRPr="000F0FEE">
        <w:rPr>
          <w:rFonts w:ascii="Times New Roman" w:hAnsi="Times New Roman" w:cs="Times New Roman"/>
          <w:sz w:val="24"/>
          <w:szCs w:val="24"/>
          <w:shd w:val="clear" w:color="auto" w:fill="FFFFFF"/>
        </w:rPr>
        <w:t xml:space="preserve"> a la baja, al perder un 4,86 % sobre las 8.55 GMT en el mercado de futuros de Londres, </w:t>
      </w:r>
      <w:r w:rsidR="00FB4C5B" w:rsidRPr="000F0FEE">
        <w:rPr>
          <w:rFonts w:ascii="Times New Roman" w:hAnsi="Times New Roman" w:cs="Times New Roman"/>
          <w:sz w:val="24"/>
          <w:szCs w:val="24"/>
          <w:shd w:val="clear" w:color="auto" w:fill="FFFFFF"/>
        </w:rPr>
        <w:t>forzado</w:t>
      </w:r>
      <w:r w:rsidR="00CE0894" w:rsidRPr="000F0FEE">
        <w:rPr>
          <w:rFonts w:ascii="Times New Roman" w:hAnsi="Times New Roman" w:cs="Times New Roman"/>
          <w:sz w:val="24"/>
          <w:szCs w:val="24"/>
          <w:shd w:val="clear" w:color="auto" w:fill="FFFFFF"/>
        </w:rPr>
        <w:t xml:space="preserve"> por el </w:t>
      </w:r>
      <w:r w:rsidR="00FB4C5B" w:rsidRPr="000F0FEE">
        <w:rPr>
          <w:rFonts w:ascii="Times New Roman" w:hAnsi="Times New Roman" w:cs="Times New Roman"/>
          <w:sz w:val="24"/>
          <w:szCs w:val="24"/>
          <w:shd w:val="clear" w:color="auto" w:fill="FFFFFF"/>
        </w:rPr>
        <w:t>aparecimiento</w:t>
      </w:r>
      <w:r w:rsidR="00CE0894" w:rsidRPr="000F0FEE">
        <w:rPr>
          <w:rFonts w:ascii="Times New Roman" w:hAnsi="Times New Roman" w:cs="Times New Roman"/>
          <w:sz w:val="24"/>
          <w:szCs w:val="24"/>
          <w:shd w:val="clear" w:color="auto" w:fill="FFFFFF"/>
        </w:rPr>
        <w:t xml:space="preserve"> y consecuencias de una nueva variante del coronavirus </w:t>
      </w:r>
      <w:r w:rsidR="00FB4C5B" w:rsidRPr="000F0FEE">
        <w:rPr>
          <w:rFonts w:ascii="Times New Roman" w:hAnsi="Times New Roman" w:cs="Times New Roman"/>
          <w:sz w:val="24"/>
          <w:szCs w:val="24"/>
          <w:shd w:val="clear" w:color="auto" w:fill="FFFFFF"/>
        </w:rPr>
        <w:t>descubierta</w:t>
      </w:r>
      <w:r w:rsidR="00CE0894" w:rsidRPr="000F0FEE">
        <w:rPr>
          <w:rFonts w:ascii="Times New Roman" w:hAnsi="Times New Roman" w:cs="Times New Roman"/>
          <w:sz w:val="24"/>
          <w:szCs w:val="24"/>
          <w:shd w:val="clear" w:color="auto" w:fill="FFFFFF"/>
        </w:rPr>
        <w:t xml:space="preserve"> en el sur de África. (EFE, 2021)</w:t>
      </w:r>
    </w:p>
    <w:p w14:paraId="4BE39248" w14:textId="0A965C04" w:rsidR="00C11841" w:rsidRPr="000F0FEE" w:rsidRDefault="00FB4C5B" w:rsidP="008E0FCE">
      <w:pPr>
        <w:spacing w:after="120" w:line="360" w:lineRule="auto"/>
        <w:jc w:val="both"/>
        <w:outlineLvl w:val="0"/>
        <w:rPr>
          <w:rFonts w:ascii="Times New Roman" w:hAnsi="Times New Roman" w:cs="Times New Roman"/>
          <w:sz w:val="24"/>
          <w:szCs w:val="24"/>
          <w:shd w:val="clear" w:color="auto" w:fill="FFFFFF"/>
        </w:rPr>
      </w:pPr>
      <w:r w:rsidRPr="000F0FEE">
        <w:rPr>
          <w:rFonts w:ascii="Times New Roman" w:hAnsi="Times New Roman" w:cs="Times New Roman"/>
          <w:sz w:val="24"/>
          <w:szCs w:val="24"/>
          <w:shd w:val="clear" w:color="auto" w:fill="FFFFFF"/>
        </w:rPr>
        <w:t>Ahora, e</w:t>
      </w:r>
      <w:r w:rsidR="00CE0894" w:rsidRPr="000F0FEE">
        <w:rPr>
          <w:rFonts w:ascii="Times New Roman" w:hAnsi="Times New Roman" w:cs="Times New Roman"/>
          <w:sz w:val="24"/>
          <w:szCs w:val="24"/>
          <w:shd w:val="clear" w:color="auto" w:fill="FFFFFF"/>
        </w:rPr>
        <w:t xml:space="preserve">l </w:t>
      </w:r>
      <w:r w:rsidR="00CF06F4" w:rsidRPr="000F0FEE">
        <w:rPr>
          <w:rFonts w:ascii="Times New Roman" w:hAnsi="Times New Roman" w:cs="Times New Roman"/>
          <w:sz w:val="24"/>
          <w:szCs w:val="24"/>
          <w:shd w:val="clear" w:color="auto" w:fill="FFFFFF"/>
        </w:rPr>
        <w:t>mercado continuo atentamente</w:t>
      </w:r>
      <w:r w:rsidR="00CE0894" w:rsidRPr="000F0FEE">
        <w:rPr>
          <w:rFonts w:ascii="Times New Roman" w:hAnsi="Times New Roman" w:cs="Times New Roman"/>
          <w:sz w:val="24"/>
          <w:szCs w:val="24"/>
          <w:shd w:val="clear" w:color="auto" w:fill="FFFFFF"/>
        </w:rPr>
        <w:t xml:space="preserve"> la evolución de la nueva variante de coronavirus B.1.1.529, </w:t>
      </w:r>
      <w:r w:rsidR="00CF06F4" w:rsidRPr="000F0FEE">
        <w:rPr>
          <w:rFonts w:ascii="Times New Roman" w:hAnsi="Times New Roman" w:cs="Times New Roman"/>
          <w:sz w:val="24"/>
          <w:szCs w:val="24"/>
          <w:shd w:val="clear" w:color="auto" w:fill="FFFFFF"/>
        </w:rPr>
        <w:t>reconocida</w:t>
      </w:r>
      <w:r w:rsidR="00CE0894" w:rsidRPr="000F0FEE">
        <w:rPr>
          <w:rFonts w:ascii="Times New Roman" w:hAnsi="Times New Roman" w:cs="Times New Roman"/>
          <w:sz w:val="24"/>
          <w:szCs w:val="24"/>
          <w:shd w:val="clear" w:color="auto" w:fill="FFFFFF"/>
        </w:rPr>
        <w:t xml:space="preserve"> por primera vez en el sur de África y que, al parecer, podría ser más transmisible y hacer </w:t>
      </w:r>
      <w:r w:rsidR="00CF06F4" w:rsidRPr="000F0FEE">
        <w:rPr>
          <w:rFonts w:ascii="Times New Roman" w:hAnsi="Times New Roman" w:cs="Times New Roman"/>
          <w:sz w:val="24"/>
          <w:szCs w:val="24"/>
          <w:shd w:val="clear" w:color="auto" w:fill="FFFFFF"/>
        </w:rPr>
        <w:t>disipar</w:t>
      </w:r>
      <w:r w:rsidR="00CE0894" w:rsidRPr="000F0FEE">
        <w:rPr>
          <w:rFonts w:ascii="Times New Roman" w:hAnsi="Times New Roman" w:cs="Times New Roman"/>
          <w:sz w:val="24"/>
          <w:szCs w:val="24"/>
          <w:shd w:val="clear" w:color="auto" w:fill="FFFFFF"/>
        </w:rPr>
        <w:t xml:space="preserve"> efectividad a las actuales vacunas, </w:t>
      </w:r>
      <w:r w:rsidR="00CF06F4" w:rsidRPr="000F0FEE">
        <w:rPr>
          <w:rFonts w:ascii="Times New Roman" w:hAnsi="Times New Roman" w:cs="Times New Roman"/>
          <w:sz w:val="24"/>
          <w:szCs w:val="24"/>
          <w:shd w:val="clear" w:color="auto" w:fill="FFFFFF"/>
        </w:rPr>
        <w:t>no obstante,</w:t>
      </w:r>
      <w:r w:rsidR="00CE0894" w:rsidRPr="000F0FEE">
        <w:rPr>
          <w:rFonts w:ascii="Times New Roman" w:hAnsi="Times New Roman" w:cs="Times New Roman"/>
          <w:sz w:val="24"/>
          <w:szCs w:val="24"/>
          <w:shd w:val="clear" w:color="auto" w:fill="FFFFFF"/>
        </w:rPr>
        <w:t xml:space="preserve"> todavía tiene que ser estudiada</w:t>
      </w:r>
      <w:r w:rsidR="00CE0894" w:rsidRPr="000F0FEE">
        <w:rPr>
          <w:rFonts w:ascii="Times New Roman" w:hAnsi="Times New Roman" w:cs="Times New Roman"/>
          <w:color w:val="4D4D4D"/>
          <w:sz w:val="24"/>
          <w:szCs w:val="24"/>
          <w:shd w:val="clear" w:color="auto" w:fill="FFFFFF"/>
        </w:rPr>
        <w:t xml:space="preserve">. </w:t>
      </w:r>
      <w:r w:rsidR="00CE0894" w:rsidRPr="000F0FEE">
        <w:rPr>
          <w:rFonts w:ascii="Times New Roman" w:hAnsi="Times New Roman" w:cs="Times New Roman"/>
          <w:sz w:val="24"/>
          <w:szCs w:val="24"/>
          <w:shd w:val="clear" w:color="auto" w:fill="FFFFFF"/>
        </w:rPr>
        <w:t>(EFE, 2021)</w:t>
      </w:r>
      <w:r w:rsidR="000D7058" w:rsidRPr="000F0FEE">
        <w:rPr>
          <w:rFonts w:ascii="Times New Roman" w:hAnsi="Times New Roman" w:cs="Times New Roman"/>
          <w:sz w:val="24"/>
          <w:szCs w:val="24"/>
          <w:shd w:val="clear" w:color="auto" w:fill="FFFFFF"/>
        </w:rPr>
        <w:t>. Para el 13 de diciembre, los precios del petróleo aumentaron en medio de un creciente impacto de la variante ómicron de coronavirus (COVID-19) en la recuperación económica mundial y en la demanda de combustible.</w:t>
      </w:r>
      <w:r w:rsidR="00C11841" w:rsidRPr="000F0FEE">
        <w:rPr>
          <w:rFonts w:ascii="Times New Roman" w:hAnsi="Times New Roman" w:cs="Times New Roman"/>
          <w:sz w:val="24"/>
          <w:szCs w:val="24"/>
          <w:shd w:val="clear" w:color="auto" w:fill="FFFFFF"/>
        </w:rPr>
        <w:t xml:space="preserve"> (Yuksel, 2021)</w:t>
      </w:r>
    </w:p>
    <w:p w14:paraId="7D2EAF63" w14:textId="38F89DA4" w:rsidR="00C11841" w:rsidRPr="000F0FEE" w:rsidRDefault="000D7058" w:rsidP="008E0FCE">
      <w:pPr>
        <w:spacing w:after="120" w:line="360" w:lineRule="auto"/>
        <w:jc w:val="both"/>
        <w:outlineLvl w:val="0"/>
        <w:rPr>
          <w:rFonts w:ascii="Times New Roman" w:hAnsi="Times New Roman" w:cs="Times New Roman"/>
          <w:sz w:val="24"/>
          <w:szCs w:val="24"/>
          <w:shd w:val="clear" w:color="auto" w:fill="FFFFFF"/>
        </w:rPr>
      </w:pPr>
      <w:r w:rsidRPr="000F0FEE">
        <w:rPr>
          <w:rFonts w:ascii="Times New Roman" w:hAnsi="Times New Roman" w:cs="Times New Roman"/>
          <w:sz w:val="24"/>
          <w:szCs w:val="24"/>
          <w:shd w:val="clear" w:color="auto" w:fill="FFFFFF"/>
        </w:rPr>
        <w:t xml:space="preserve">El crudo Brent de referencia internacional se cotizaba a 75,97 dólares el barril a las 07:23 (GMT), con un </w:t>
      </w:r>
      <w:r w:rsidR="00C11841" w:rsidRPr="000F0FEE">
        <w:rPr>
          <w:rFonts w:ascii="Times New Roman" w:hAnsi="Times New Roman" w:cs="Times New Roman"/>
          <w:sz w:val="24"/>
          <w:szCs w:val="24"/>
          <w:shd w:val="clear" w:color="auto" w:fill="FFFFFF"/>
        </w:rPr>
        <w:t>incremento</w:t>
      </w:r>
      <w:r w:rsidRPr="000F0FEE">
        <w:rPr>
          <w:rFonts w:ascii="Times New Roman" w:hAnsi="Times New Roman" w:cs="Times New Roman"/>
          <w:sz w:val="24"/>
          <w:szCs w:val="24"/>
          <w:shd w:val="clear" w:color="auto" w:fill="FFFFFF"/>
        </w:rPr>
        <w:t xml:space="preserve"> del 1,09%, </w:t>
      </w:r>
      <w:r w:rsidR="00C11841" w:rsidRPr="000F0FEE">
        <w:rPr>
          <w:rFonts w:ascii="Times New Roman" w:hAnsi="Times New Roman" w:cs="Times New Roman"/>
          <w:sz w:val="24"/>
          <w:szCs w:val="24"/>
          <w:shd w:val="clear" w:color="auto" w:fill="FFFFFF"/>
        </w:rPr>
        <w:t>posteriormente</w:t>
      </w:r>
      <w:r w:rsidRPr="000F0FEE">
        <w:rPr>
          <w:rFonts w:ascii="Times New Roman" w:hAnsi="Times New Roman" w:cs="Times New Roman"/>
          <w:sz w:val="24"/>
          <w:szCs w:val="24"/>
          <w:shd w:val="clear" w:color="auto" w:fill="FFFFFF"/>
        </w:rPr>
        <w:t xml:space="preserve"> de cerrar la sesión anterior a 75,15 dólares el barril.</w:t>
      </w:r>
      <w:r w:rsidR="00C11841" w:rsidRPr="000F0FEE">
        <w:rPr>
          <w:rFonts w:ascii="Times New Roman" w:hAnsi="Times New Roman" w:cs="Times New Roman"/>
          <w:sz w:val="24"/>
          <w:szCs w:val="24"/>
          <w:shd w:val="clear" w:color="auto" w:fill="FFFFFF"/>
        </w:rPr>
        <w:t xml:space="preserve"> (Yuksel, 2021)</w:t>
      </w:r>
    </w:p>
    <w:p w14:paraId="164BA585" w14:textId="30AEC0B5" w:rsidR="00CE0894" w:rsidRPr="000F0FEE" w:rsidRDefault="00997DC1" w:rsidP="008E0FCE">
      <w:pPr>
        <w:spacing w:line="360" w:lineRule="auto"/>
        <w:jc w:val="both"/>
        <w:rPr>
          <w:rFonts w:ascii="Times New Roman" w:hAnsi="Times New Roman" w:cs="Times New Roman"/>
          <w:sz w:val="24"/>
          <w:szCs w:val="24"/>
        </w:rPr>
      </w:pPr>
      <w:r w:rsidRPr="000F0FEE">
        <w:rPr>
          <w:rFonts w:ascii="Times New Roman" w:hAnsi="Times New Roman" w:cs="Times New Roman"/>
          <w:sz w:val="24"/>
          <w:szCs w:val="24"/>
        </w:rPr>
        <w:t xml:space="preserve">Ya para el 10 de enero de 2022, los precios del petróleo </w:t>
      </w:r>
      <w:r w:rsidR="005F1510" w:rsidRPr="000F0FEE">
        <w:rPr>
          <w:rFonts w:ascii="Times New Roman" w:hAnsi="Times New Roman" w:cs="Times New Roman"/>
          <w:sz w:val="24"/>
          <w:szCs w:val="24"/>
        </w:rPr>
        <w:t>disminuyeron</w:t>
      </w:r>
      <w:r w:rsidRPr="000F0FEE">
        <w:rPr>
          <w:rFonts w:ascii="Times New Roman" w:hAnsi="Times New Roman" w:cs="Times New Roman"/>
          <w:sz w:val="24"/>
          <w:szCs w:val="24"/>
        </w:rPr>
        <w:t xml:space="preserve">, debido a que las </w:t>
      </w:r>
      <w:r w:rsidR="00544301" w:rsidRPr="000F0FEE">
        <w:rPr>
          <w:rFonts w:ascii="Times New Roman" w:hAnsi="Times New Roman" w:cs="Times New Roman"/>
          <w:sz w:val="24"/>
          <w:szCs w:val="24"/>
        </w:rPr>
        <w:t>ansiedades</w:t>
      </w:r>
      <w:r w:rsidRPr="000F0FEE">
        <w:rPr>
          <w:rFonts w:ascii="Times New Roman" w:hAnsi="Times New Roman" w:cs="Times New Roman"/>
          <w:sz w:val="24"/>
          <w:szCs w:val="24"/>
        </w:rPr>
        <w:t xml:space="preserve"> sobre la demanda avivadas por el </w:t>
      </w:r>
      <w:r w:rsidR="00544301" w:rsidRPr="000F0FEE">
        <w:rPr>
          <w:rFonts w:ascii="Times New Roman" w:hAnsi="Times New Roman" w:cs="Times New Roman"/>
          <w:sz w:val="24"/>
          <w:szCs w:val="24"/>
        </w:rPr>
        <w:t xml:space="preserve">creciente </w:t>
      </w:r>
      <w:r w:rsidRPr="000F0FEE">
        <w:rPr>
          <w:rFonts w:ascii="Times New Roman" w:hAnsi="Times New Roman" w:cs="Times New Roman"/>
          <w:sz w:val="24"/>
          <w:szCs w:val="24"/>
        </w:rPr>
        <w:t xml:space="preserve">aumento global de las infecciones de la variante Ómicron del coronavirus </w:t>
      </w:r>
      <w:r w:rsidR="00544301" w:rsidRPr="000F0FEE">
        <w:rPr>
          <w:rFonts w:ascii="Times New Roman" w:hAnsi="Times New Roman" w:cs="Times New Roman"/>
          <w:sz w:val="24"/>
          <w:szCs w:val="24"/>
        </w:rPr>
        <w:t>rebasarán</w:t>
      </w:r>
      <w:r w:rsidRPr="000F0FEE">
        <w:rPr>
          <w:rFonts w:ascii="Times New Roman" w:hAnsi="Times New Roman" w:cs="Times New Roman"/>
          <w:sz w:val="24"/>
          <w:szCs w:val="24"/>
        </w:rPr>
        <w:t xml:space="preserve"> las </w:t>
      </w:r>
      <w:r w:rsidR="00544301" w:rsidRPr="000F0FEE">
        <w:rPr>
          <w:rFonts w:ascii="Times New Roman" w:hAnsi="Times New Roman" w:cs="Times New Roman"/>
          <w:sz w:val="24"/>
          <w:szCs w:val="24"/>
        </w:rPr>
        <w:t>inquietudes</w:t>
      </w:r>
      <w:r w:rsidRPr="000F0FEE">
        <w:rPr>
          <w:rFonts w:ascii="Times New Roman" w:hAnsi="Times New Roman" w:cs="Times New Roman"/>
          <w:sz w:val="24"/>
          <w:szCs w:val="24"/>
        </w:rPr>
        <w:t xml:space="preserve"> sobre el suministro de petróleo de </w:t>
      </w:r>
      <w:r w:rsidR="00D96CBB" w:rsidRPr="000F0FEE">
        <w:rPr>
          <w:rFonts w:ascii="Times New Roman" w:hAnsi="Times New Roman" w:cs="Times New Roman"/>
          <w:sz w:val="24"/>
          <w:szCs w:val="24"/>
        </w:rPr>
        <w:t>Kazajistán. (</w:t>
      </w:r>
      <w:r w:rsidR="00704A2F" w:rsidRPr="000F0FEE">
        <w:rPr>
          <w:rFonts w:ascii="Times New Roman" w:hAnsi="Times New Roman" w:cs="Times New Roman"/>
          <w:sz w:val="24"/>
          <w:szCs w:val="24"/>
        </w:rPr>
        <w:t>El economista</w:t>
      </w:r>
      <w:r w:rsidR="00D8684B" w:rsidRPr="000F0FEE">
        <w:rPr>
          <w:rFonts w:ascii="Times New Roman" w:hAnsi="Times New Roman" w:cs="Times New Roman"/>
          <w:sz w:val="24"/>
          <w:szCs w:val="24"/>
        </w:rPr>
        <w:t>, 2022)</w:t>
      </w:r>
      <w:r w:rsidR="000D7058" w:rsidRPr="000F0FEE">
        <w:rPr>
          <w:rFonts w:ascii="Times New Roman" w:hAnsi="Times New Roman" w:cs="Times New Roman"/>
          <w:sz w:val="24"/>
          <w:szCs w:val="24"/>
        </w:rPr>
        <w:t xml:space="preserve">, </w:t>
      </w:r>
    </w:p>
    <w:p w14:paraId="7336D373" w14:textId="0F7F873A" w:rsidR="00994C70" w:rsidRPr="000F0FEE" w:rsidRDefault="00994C70" w:rsidP="008E0FCE">
      <w:pPr>
        <w:pStyle w:val="section"/>
        <w:spacing w:before="0" w:beforeAutospacing="0" w:after="480" w:afterAutospacing="0" w:line="360" w:lineRule="auto"/>
        <w:jc w:val="both"/>
      </w:pPr>
      <w:r w:rsidRPr="000F0FEE">
        <w:t>Para el 14 de marzo de 2022, el precio del petróleo cerró en rojo después de que las autoridades chinas ratificaran la peor ola de contagios de coronavirus desde el inicio de la pandemia y l</w:t>
      </w:r>
      <w:r w:rsidR="0072240D" w:rsidRPr="000F0FEE">
        <w:t>o</w:t>
      </w:r>
      <w:r w:rsidRPr="000F0FEE">
        <w:t xml:space="preserve">s </w:t>
      </w:r>
      <w:r w:rsidR="0072240D" w:rsidRPr="000F0FEE">
        <w:t>efectos</w:t>
      </w:r>
      <w:r w:rsidRPr="000F0FEE">
        <w:t xml:space="preserve"> que puede producir dicha situación. (SEMANA, 2022)</w:t>
      </w:r>
      <w:r w:rsidR="00577F1B" w:rsidRPr="000F0FEE">
        <w:t xml:space="preserve">. </w:t>
      </w:r>
      <w:r w:rsidRPr="000F0FEE">
        <w:t>Debido a esto, el barril de petróleo Brent del mar del Norte, que es el de referencia de Colombia para sus cuentas fiscales, en abril perdió 6,61 % y alcanzó los 105,14 dólares, entretanto que en Nueva York el barril WTI, en marzo, cerró a 103,01 dólares con una disminución del 5,78 %, en paralelo con la jornada anterior. (SEMANA, 2022)</w:t>
      </w:r>
    </w:p>
    <w:p w14:paraId="2ACA0C33" w14:textId="17C56378" w:rsidR="00233DA1" w:rsidRPr="000F0FEE" w:rsidRDefault="00D8384D" w:rsidP="00DF411D">
      <w:pPr>
        <w:spacing w:before="120" w:after="225" w:line="360" w:lineRule="auto"/>
        <w:jc w:val="both"/>
        <w:rPr>
          <w:rFonts w:ascii="Times New Roman" w:eastAsia="Times New Roman" w:hAnsi="Times New Roman" w:cs="Times New Roman"/>
          <w:sz w:val="24"/>
          <w:szCs w:val="24"/>
          <w:lang w:eastAsia="es-CO"/>
        </w:rPr>
      </w:pPr>
      <w:r w:rsidRPr="000F0FEE">
        <w:rPr>
          <w:rFonts w:ascii="Times New Roman" w:eastAsia="Times New Roman" w:hAnsi="Times New Roman" w:cs="Times New Roman"/>
          <w:sz w:val="24"/>
          <w:szCs w:val="24"/>
          <w:lang w:eastAsia="es-CO"/>
        </w:rPr>
        <w:t xml:space="preserve">Según Corredor y Martínez (2020), </w:t>
      </w:r>
      <w:r w:rsidR="00B668D4" w:rsidRPr="000F0FEE">
        <w:rPr>
          <w:rFonts w:ascii="Times New Roman" w:eastAsia="Times New Roman" w:hAnsi="Times New Roman" w:cs="Times New Roman"/>
          <w:sz w:val="24"/>
          <w:szCs w:val="24"/>
          <w:lang w:eastAsia="es-CO"/>
        </w:rPr>
        <w:t>últimamente</w:t>
      </w:r>
      <w:r w:rsidR="00233DA1" w:rsidRPr="000F0FEE">
        <w:rPr>
          <w:rFonts w:ascii="Times New Roman" w:eastAsia="Times New Roman" w:hAnsi="Times New Roman" w:cs="Times New Roman"/>
          <w:sz w:val="24"/>
          <w:szCs w:val="24"/>
          <w:lang w:eastAsia="es-CO"/>
        </w:rPr>
        <w:t xml:space="preserve">, la economía colombiana ha experimentado efectos causados por un </w:t>
      </w:r>
      <w:r w:rsidR="00B668D4" w:rsidRPr="000F0FEE">
        <w:rPr>
          <w:rFonts w:ascii="Times New Roman" w:eastAsia="Times New Roman" w:hAnsi="Times New Roman" w:cs="Times New Roman"/>
          <w:sz w:val="24"/>
          <w:szCs w:val="24"/>
          <w:lang w:eastAsia="es-CO"/>
        </w:rPr>
        <w:t>conjunto</w:t>
      </w:r>
      <w:r w:rsidR="00233DA1" w:rsidRPr="000F0FEE">
        <w:rPr>
          <w:rFonts w:ascii="Times New Roman" w:eastAsia="Times New Roman" w:hAnsi="Times New Roman" w:cs="Times New Roman"/>
          <w:sz w:val="24"/>
          <w:szCs w:val="24"/>
          <w:lang w:eastAsia="es-CO"/>
        </w:rPr>
        <w:t xml:space="preserve"> de eventos </w:t>
      </w:r>
      <w:r w:rsidR="00B668D4" w:rsidRPr="000F0FEE">
        <w:rPr>
          <w:rFonts w:ascii="Times New Roman" w:eastAsia="Times New Roman" w:hAnsi="Times New Roman" w:cs="Times New Roman"/>
          <w:sz w:val="24"/>
          <w:szCs w:val="24"/>
          <w:lang w:eastAsia="es-CO"/>
        </w:rPr>
        <w:t>infortunados</w:t>
      </w:r>
      <w:r w:rsidR="00233DA1" w:rsidRPr="000F0FEE">
        <w:rPr>
          <w:rFonts w:ascii="Times New Roman" w:eastAsia="Times New Roman" w:hAnsi="Times New Roman" w:cs="Times New Roman"/>
          <w:sz w:val="24"/>
          <w:szCs w:val="24"/>
          <w:lang w:eastAsia="es-CO"/>
        </w:rPr>
        <w:t xml:space="preserve"> en el mundo. La crisis de salud </w:t>
      </w:r>
      <w:r w:rsidR="00B668D4" w:rsidRPr="000F0FEE">
        <w:rPr>
          <w:rFonts w:ascii="Times New Roman" w:eastAsia="Times New Roman" w:hAnsi="Times New Roman" w:cs="Times New Roman"/>
          <w:sz w:val="24"/>
          <w:szCs w:val="24"/>
          <w:lang w:eastAsia="es-CO"/>
        </w:rPr>
        <w:t>originada</w:t>
      </w:r>
      <w:r w:rsidR="00233DA1" w:rsidRPr="000F0FEE">
        <w:rPr>
          <w:rFonts w:ascii="Times New Roman" w:eastAsia="Times New Roman" w:hAnsi="Times New Roman" w:cs="Times New Roman"/>
          <w:sz w:val="24"/>
          <w:szCs w:val="24"/>
          <w:lang w:eastAsia="es-CO"/>
        </w:rPr>
        <w:t xml:space="preserve"> por la propagación del virus C</w:t>
      </w:r>
      <w:r w:rsidR="00B668D4" w:rsidRPr="000F0FEE">
        <w:rPr>
          <w:rFonts w:ascii="Times New Roman" w:eastAsia="Times New Roman" w:hAnsi="Times New Roman" w:cs="Times New Roman"/>
          <w:sz w:val="24"/>
          <w:szCs w:val="24"/>
          <w:lang w:eastAsia="es-CO"/>
        </w:rPr>
        <w:t>OVID</w:t>
      </w:r>
      <w:r w:rsidR="00233DA1" w:rsidRPr="000F0FEE">
        <w:rPr>
          <w:rFonts w:ascii="Times New Roman" w:eastAsia="Times New Roman" w:hAnsi="Times New Roman" w:cs="Times New Roman"/>
          <w:sz w:val="24"/>
          <w:szCs w:val="24"/>
          <w:lang w:eastAsia="es-CO"/>
        </w:rPr>
        <w:t xml:space="preserve">-19 y </w:t>
      </w:r>
      <w:r w:rsidR="00B668D4" w:rsidRPr="000F0FEE">
        <w:rPr>
          <w:rFonts w:ascii="Times New Roman" w:eastAsia="Times New Roman" w:hAnsi="Times New Roman" w:cs="Times New Roman"/>
          <w:sz w:val="24"/>
          <w:szCs w:val="24"/>
          <w:lang w:eastAsia="es-CO"/>
        </w:rPr>
        <w:t>la frustración</w:t>
      </w:r>
      <w:r w:rsidR="00233DA1" w:rsidRPr="000F0FEE">
        <w:rPr>
          <w:rFonts w:ascii="Times New Roman" w:eastAsia="Times New Roman" w:hAnsi="Times New Roman" w:cs="Times New Roman"/>
          <w:sz w:val="24"/>
          <w:szCs w:val="24"/>
          <w:lang w:eastAsia="es-CO"/>
        </w:rPr>
        <w:t xml:space="preserve"> de las negociaciones entre Arabia Saudita y Rusia, han dado pie a que los indicadores del dólar, el petróleo y algunos índices de la bolsa </w:t>
      </w:r>
      <w:r w:rsidR="00B668D4" w:rsidRPr="000F0FEE">
        <w:rPr>
          <w:rFonts w:ascii="Times New Roman" w:eastAsia="Times New Roman" w:hAnsi="Times New Roman" w:cs="Times New Roman"/>
          <w:sz w:val="24"/>
          <w:szCs w:val="24"/>
          <w:lang w:eastAsia="es-CO"/>
        </w:rPr>
        <w:t>alcanzaran</w:t>
      </w:r>
      <w:r w:rsidR="00233DA1" w:rsidRPr="000F0FEE">
        <w:rPr>
          <w:rFonts w:ascii="Times New Roman" w:eastAsia="Times New Roman" w:hAnsi="Times New Roman" w:cs="Times New Roman"/>
          <w:sz w:val="24"/>
          <w:szCs w:val="24"/>
          <w:lang w:eastAsia="es-CO"/>
        </w:rPr>
        <w:t xml:space="preserve"> una volatilidad histórica.</w:t>
      </w:r>
    </w:p>
    <w:p w14:paraId="0D848857" w14:textId="06B12673" w:rsidR="00DF411D" w:rsidRPr="000F0FEE" w:rsidRDefault="00DF411D" w:rsidP="00DF411D">
      <w:pPr>
        <w:spacing w:before="120" w:after="225" w:line="360" w:lineRule="auto"/>
        <w:jc w:val="both"/>
        <w:rPr>
          <w:rFonts w:ascii="Times New Roman" w:eastAsia="Times New Roman" w:hAnsi="Times New Roman" w:cs="Times New Roman"/>
          <w:color w:val="222222"/>
          <w:sz w:val="24"/>
          <w:szCs w:val="24"/>
          <w:lang w:eastAsia="es-CO"/>
        </w:rPr>
      </w:pPr>
      <w:r w:rsidRPr="000F0FEE">
        <w:rPr>
          <w:rFonts w:ascii="Times New Roman" w:eastAsia="Times New Roman" w:hAnsi="Times New Roman" w:cs="Times New Roman"/>
          <w:color w:val="222222"/>
          <w:sz w:val="24"/>
          <w:szCs w:val="24"/>
          <w:lang w:eastAsia="es-CO"/>
        </w:rPr>
        <w:t xml:space="preserve">La </w:t>
      </w:r>
      <w:r w:rsidR="00FD5482" w:rsidRPr="000F0FEE">
        <w:rPr>
          <w:rFonts w:ascii="Times New Roman" w:eastAsia="Times New Roman" w:hAnsi="Times New Roman" w:cs="Times New Roman"/>
          <w:color w:val="222222"/>
          <w:sz w:val="24"/>
          <w:szCs w:val="24"/>
          <w:lang w:eastAsia="es-CO"/>
        </w:rPr>
        <w:t>relevancia</w:t>
      </w:r>
      <w:r w:rsidRPr="000F0FEE">
        <w:rPr>
          <w:rFonts w:ascii="Times New Roman" w:eastAsia="Times New Roman" w:hAnsi="Times New Roman" w:cs="Times New Roman"/>
          <w:color w:val="222222"/>
          <w:sz w:val="24"/>
          <w:szCs w:val="24"/>
          <w:lang w:eastAsia="es-CO"/>
        </w:rPr>
        <w:t xml:space="preserve"> del petróleo </w:t>
      </w:r>
      <w:r w:rsidR="00FD5482" w:rsidRPr="000F0FEE">
        <w:rPr>
          <w:rFonts w:ascii="Times New Roman" w:eastAsia="Times New Roman" w:hAnsi="Times New Roman" w:cs="Times New Roman"/>
          <w:color w:val="222222"/>
          <w:sz w:val="24"/>
          <w:szCs w:val="24"/>
          <w:lang w:eastAsia="es-CO"/>
        </w:rPr>
        <w:t>procede</w:t>
      </w:r>
      <w:r w:rsidRPr="000F0FEE">
        <w:rPr>
          <w:rFonts w:ascii="Times New Roman" w:eastAsia="Times New Roman" w:hAnsi="Times New Roman" w:cs="Times New Roman"/>
          <w:color w:val="222222"/>
          <w:sz w:val="24"/>
          <w:szCs w:val="24"/>
          <w:lang w:eastAsia="es-CO"/>
        </w:rPr>
        <w:t xml:space="preserve"> sobre todo de su participación en las exportaciones, en los ingresos fiscales del Gobierno Nacional Central (GNC), en la inversión extranjera directa, en las regalías, e inclusive en la generación de empleo. </w:t>
      </w:r>
      <w:r w:rsidR="00FD5482" w:rsidRPr="000F0FEE">
        <w:rPr>
          <w:rFonts w:ascii="Times New Roman" w:eastAsia="Times New Roman" w:hAnsi="Times New Roman" w:cs="Times New Roman"/>
          <w:color w:val="222222"/>
          <w:sz w:val="24"/>
          <w:szCs w:val="24"/>
          <w:lang w:eastAsia="es-CO"/>
        </w:rPr>
        <w:t>Ahora, mencionando unas cifras</w:t>
      </w:r>
      <w:r w:rsidRPr="000F0FEE">
        <w:rPr>
          <w:rFonts w:ascii="Times New Roman" w:eastAsia="Times New Roman" w:hAnsi="Times New Roman" w:cs="Times New Roman"/>
          <w:color w:val="222222"/>
          <w:sz w:val="24"/>
          <w:szCs w:val="24"/>
          <w:lang w:eastAsia="es-CO"/>
        </w:rPr>
        <w:t xml:space="preserve">: el sector de los hidrocarburos </w:t>
      </w:r>
      <w:r w:rsidR="00FD5482" w:rsidRPr="000F0FEE">
        <w:rPr>
          <w:rFonts w:ascii="Times New Roman" w:eastAsia="Times New Roman" w:hAnsi="Times New Roman" w:cs="Times New Roman"/>
          <w:color w:val="222222"/>
          <w:sz w:val="24"/>
          <w:szCs w:val="24"/>
          <w:lang w:eastAsia="es-CO"/>
        </w:rPr>
        <w:t>personifica</w:t>
      </w:r>
      <w:r w:rsidRPr="000F0FEE">
        <w:rPr>
          <w:rFonts w:ascii="Times New Roman" w:eastAsia="Times New Roman" w:hAnsi="Times New Roman" w:cs="Times New Roman"/>
          <w:color w:val="222222"/>
          <w:sz w:val="24"/>
          <w:szCs w:val="24"/>
          <w:lang w:eastAsia="es-CO"/>
        </w:rPr>
        <w:t xml:space="preserve"> en promedio el 70% de las exportaciones, ha originado entre el 11% y el 25% del ingreso del GNC y ha llegado a generar más de 186.000 empleos. (Corredor y Martínez, 2020)</w:t>
      </w:r>
    </w:p>
    <w:p w14:paraId="7F114CFE" w14:textId="493F2594" w:rsidR="004A4F6F" w:rsidRPr="000F0FEE" w:rsidRDefault="00590CE1" w:rsidP="00F96FF3">
      <w:pPr>
        <w:spacing w:before="120" w:after="225" w:line="360" w:lineRule="auto"/>
        <w:jc w:val="both"/>
        <w:rPr>
          <w:rFonts w:ascii="Times New Roman" w:hAnsi="Times New Roman" w:cs="Times New Roman"/>
          <w:sz w:val="24"/>
          <w:szCs w:val="24"/>
          <w:bdr w:val="none" w:sz="0" w:space="0" w:color="auto" w:frame="1"/>
        </w:rPr>
      </w:pPr>
      <w:r w:rsidRPr="000F0FEE">
        <w:rPr>
          <w:rFonts w:ascii="Times New Roman" w:hAnsi="Times New Roman" w:cs="Times New Roman"/>
          <w:sz w:val="24"/>
          <w:szCs w:val="24"/>
        </w:rPr>
        <w:t>De acuerdo con López (2020), l</w:t>
      </w:r>
      <w:r w:rsidR="004A4F6F" w:rsidRPr="000F0FEE">
        <w:rPr>
          <w:rFonts w:ascii="Times New Roman" w:hAnsi="Times New Roman" w:cs="Times New Roman"/>
          <w:sz w:val="24"/>
          <w:szCs w:val="24"/>
        </w:rPr>
        <w:t>a volatilidad en los precios del barril de crudo en los mercados internacionales y la pandemia mundial por el COVID-19, </w:t>
      </w:r>
      <w:r w:rsidR="004A4F6F" w:rsidRPr="000F0FEE">
        <w:rPr>
          <w:rFonts w:ascii="Times New Roman" w:hAnsi="Times New Roman" w:cs="Times New Roman"/>
          <w:sz w:val="24"/>
          <w:szCs w:val="24"/>
          <w:bdr w:val="none" w:sz="0" w:space="0" w:color="auto" w:frame="1"/>
        </w:rPr>
        <w:t xml:space="preserve">le </w:t>
      </w:r>
      <w:r w:rsidR="00056ACA" w:rsidRPr="000F0FEE">
        <w:rPr>
          <w:rFonts w:ascii="Times New Roman" w:hAnsi="Times New Roman" w:cs="Times New Roman"/>
          <w:sz w:val="24"/>
          <w:szCs w:val="24"/>
          <w:bdr w:val="none" w:sz="0" w:space="0" w:color="auto" w:frame="1"/>
        </w:rPr>
        <w:t>trasladarían la</w:t>
      </w:r>
      <w:r w:rsidR="004A4F6F" w:rsidRPr="000F0FEE">
        <w:rPr>
          <w:rFonts w:ascii="Times New Roman" w:hAnsi="Times New Roman" w:cs="Times New Roman"/>
          <w:sz w:val="24"/>
          <w:szCs w:val="24"/>
          <w:bdr w:val="none" w:sz="0" w:space="0" w:color="auto" w:frame="1"/>
        </w:rPr>
        <w:t xml:space="preserve"> cuenta de cobro a las </w:t>
      </w:r>
      <w:r w:rsidR="00056ACA" w:rsidRPr="000F0FEE">
        <w:rPr>
          <w:rFonts w:ascii="Times New Roman" w:hAnsi="Times New Roman" w:cs="Times New Roman"/>
          <w:sz w:val="24"/>
          <w:szCs w:val="24"/>
          <w:bdr w:val="none" w:sz="0" w:space="0" w:color="auto" w:frame="1"/>
        </w:rPr>
        <w:t>existencias</w:t>
      </w:r>
      <w:r w:rsidR="004A4F6F" w:rsidRPr="000F0FEE">
        <w:rPr>
          <w:rFonts w:ascii="Times New Roman" w:hAnsi="Times New Roman" w:cs="Times New Roman"/>
          <w:sz w:val="24"/>
          <w:szCs w:val="24"/>
          <w:bdr w:val="none" w:sz="0" w:space="0" w:color="auto" w:frame="1"/>
        </w:rPr>
        <w:t xml:space="preserve"> petroleras del país, luego de la operación del sector en el 2020.</w:t>
      </w:r>
    </w:p>
    <w:p w14:paraId="5AF4E584" w14:textId="65074221" w:rsidR="00590CE1" w:rsidRPr="000F0FEE" w:rsidRDefault="00590CE1" w:rsidP="00590CE1">
      <w:pPr>
        <w:spacing w:before="120" w:after="225" w:line="360" w:lineRule="auto"/>
        <w:jc w:val="both"/>
        <w:rPr>
          <w:rFonts w:ascii="Times New Roman" w:hAnsi="Times New Roman" w:cs="Times New Roman"/>
          <w:sz w:val="24"/>
          <w:szCs w:val="24"/>
          <w:bdr w:val="none" w:sz="0" w:space="0" w:color="auto" w:frame="1"/>
        </w:rPr>
      </w:pPr>
      <w:r w:rsidRPr="000F0FEE">
        <w:rPr>
          <w:rFonts w:ascii="Times New Roman" w:hAnsi="Times New Roman" w:cs="Times New Roman"/>
          <w:sz w:val="24"/>
          <w:szCs w:val="24"/>
        </w:rPr>
        <w:t>“</w:t>
      </w:r>
      <w:r w:rsidR="004A4F6F" w:rsidRPr="000F0FEE">
        <w:rPr>
          <w:rFonts w:ascii="Times New Roman" w:hAnsi="Times New Roman" w:cs="Times New Roman"/>
          <w:sz w:val="24"/>
          <w:szCs w:val="24"/>
        </w:rPr>
        <w:t>La razón,</w:t>
      </w:r>
      <w:r w:rsidR="004A4F6F" w:rsidRPr="000F0FEE">
        <w:rPr>
          <w:rFonts w:ascii="Times New Roman" w:hAnsi="Times New Roman" w:cs="Times New Roman"/>
          <w:sz w:val="24"/>
          <w:szCs w:val="24"/>
          <w:bdr w:val="none" w:sz="0" w:space="0" w:color="auto" w:frame="1"/>
        </w:rPr>
        <w:t> el nivel de volumen de los remanentes del hidrocarburo de Colombia, a menos de ocho meses de terminar el presente año, podrían llegar a estar bordeando los 1.900 millones de barriles de petróleo</w:t>
      </w:r>
      <w:r w:rsidRPr="000F0FEE">
        <w:rPr>
          <w:rFonts w:ascii="Times New Roman" w:hAnsi="Times New Roman" w:cs="Times New Roman"/>
          <w:sz w:val="24"/>
          <w:szCs w:val="24"/>
          <w:bdr w:val="none" w:sz="0" w:space="0" w:color="auto" w:frame="1"/>
        </w:rPr>
        <w:t>”</w:t>
      </w:r>
      <w:r w:rsidR="004A4F6F" w:rsidRPr="000F0FEE">
        <w:rPr>
          <w:rFonts w:ascii="Times New Roman" w:hAnsi="Times New Roman" w:cs="Times New Roman"/>
          <w:sz w:val="24"/>
          <w:szCs w:val="24"/>
          <w:bdr w:val="none" w:sz="0" w:space="0" w:color="auto" w:frame="1"/>
        </w:rPr>
        <w:t>.</w:t>
      </w:r>
      <w:r w:rsidRPr="000F0FEE">
        <w:rPr>
          <w:rFonts w:ascii="Times New Roman" w:hAnsi="Times New Roman" w:cs="Times New Roman"/>
          <w:sz w:val="24"/>
          <w:szCs w:val="24"/>
          <w:bdr w:val="none" w:sz="0" w:space="0" w:color="auto" w:frame="1"/>
        </w:rPr>
        <w:t xml:space="preserve"> (López, 2020)</w:t>
      </w:r>
    </w:p>
    <w:p w14:paraId="47DEB1D4" w14:textId="55C3989E" w:rsidR="00F96FF3" w:rsidRPr="000F0FEE" w:rsidRDefault="00DF411D" w:rsidP="00F96FF3">
      <w:pPr>
        <w:spacing w:before="120" w:after="225" w:line="360" w:lineRule="auto"/>
        <w:jc w:val="both"/>
        <w:rPr>
          <w:rFonts w:ascii="Times New Roman" w:eastAsia="Times New Roman" w:hAnsi="Times New Roman" w:cs="Times New Roman"/>
          <w:color w:val="222222"/>
          <w:sz w:val="24"/>
          <w:szCs w:val="24"/>
          <w:lang w:eastAsia="es-CO"/>
        </w:rPr>
      </w:pPr>
      <w:r w:rsidRPr="000F0FEE">
        <w:rPr>
          <w:rFonts w:ascii="Times New Roman" w:eastAsia="Times New Roman" w:hAnsi="Times New Roman" w:cs="Times New Roman"/>
          <w:color w:val="222222"/>
          <w:sz w:val="24"/>
          <w:szCs w:val="24"/>
          <w:lang w:eastAsia="es-CO"/>
        </w:rPr>
        <w:t xml:space="preserve">El efecto directo y más </w:t>
      </w:r>
      <w:r w:rsidR="00857AC0" w:rsidRPr="000F0FEE">
        <w:rPr>
          <w:rFonts w:ascii="Times New Roman" w:eastAsia="Times New Roman" w:hAnsi="Times New Roman" w:cs="Times New Roman"/>
          <w:color w:val="222222"/>
          <w:sz w:val="24"/>
          <w:szCs w:val="24"/>
          <w:lang w:eastAsia="es-CO"/>
        </w:rPr>
        <w:t>próximo</w:t>
      </w:r>
      <w:r w:rsidRPr="000F0FEE">
        <w:rPr>
          <w:rFonts w:ascii="Times New Roman" w:eastAsia="Times New Roman" w:hAnsi="Times New Roman" w:cs="Times New Roman"/>
          <w:color w:val="222222"/>
          <w:sz w:val="24"/>
          <w:szCs w:val="24"/>
          <w:lang w:eastAsia="es-CO"/>
        </w:rPr>
        <w:t xml:space="preserve"> de la caída de los precios del petróleo </w:t>
      </w:r>
      <w:r w:rsidR="00857AC0" w:rsidRPr="000F0FEE">
        <w:rPr>
          <w:rFonts w:ascii="Times New Roman" w:eastAsia="Times New Roman" w:hAnsi="Times New Roman" w:cs="Times New Roman"/>
          <w:color w:val="222222"/>
          <w:sz w:val="24"/>
          <w:szCs w:val="24"/>
          <w:lang w:eastAsia="es-CO"/>
        </w:rPr>
        <w:t>estaría</w:t>
      </w:r>
      <w:r w:rsidRPr="000F0FEE">
        <w:rPr>
          <w:rFonts w:ascii="Times New Roman" w:eastAsia="Times New Roman" w:hAnsi="Times New Roman" w:cs="Times New Roman"/>
          <w:color w:val="222222"/>
          <w:sz w:val="24"/>
          <w:szCs w:val="24"/>
          <w:lang w:eastAsia="es-CO"/>
        </w:rPr>
        <w:t xml:space="preserve"> por tanto una baja en los ingresos del Estado. Si esos precios se </w:t>
      </w:r>
      <w:r w:rsidR="00857AC0" w:rsidRPr="000F0FEE">
        <w:rPr>
          <w:rFonts w:ascii="Times New Roman" w:eastAsia="Times New Roman" w:hAnsi="Times New Roman" w:cs="Times New Roman"/>
          <w:color w:val="222222"/>
          <w:sz w:val="24"/>
          <w:szCs w:val="24"/>
          <w:lang w:eastAsia="es-CO"/>
        </w:rPr>
        <w:t>conservan</w:t>
      </w:r>
      <w:r w:rsidRPr="000F0FEE">
        <w:rPr>
          <w:rFonts w:ascii="Times New Roman" w:eastAsia="Times New Roman" w:hAnsi="Times New Roman" w:cs="Times New Roman"/>
          <w:color w:val="222222"/>
          <w:sz w:val="24"/>
          <w:szCs w:val="24"/>
          <w:lang w:eastAsia="es-CO"/>
        </w:rPr>
        <w:t xml:space="preserve"> a la baja, Colombia puede verse </w:t>
      </w:r>
      <w:r w:rsidR="00857AC0" w:rsidRPr="000F0FEE">
        <w:rPr>
          <w:rFonts w:ascii="Times New Roman" w:eastAsia="Times New Roman" w:hAnsi="Times New Roman" w:cs="Times New Roman"/>
          <w:color w:val="222222"/>
          <w:sz w:val="24"/>
          <w:szCs w:val="24"/>
          <w:lang w:eastAsia="es-CO"/>
        </w:rPr>
        <w:t>gravemente</w:t>
      </w:r>
      <w:r w:rsidRPr="000F0FEE">
        <w:rPr>
          <w:rFonts w:ascii="Times New Roman" w:eastAsia="Times New Roman" w:hAnsi="Times New Roman" w:cs="Times New Roman"/>
          <w:color w:val="222222"/>
          <w:sz w:val="24"/>
          <w:szCs w:val="24"/>
          <w:lang w:eastAsia="es-CO"/>
        </w:rPr>
        <w:t xml:space="preserve"> afectada por la menor inversión pública, </w:t>
      </w:r>
      <w:r w:rsidR="00857AC0" w:rsidRPr="000F0FEE">
        <w:rPr>
          <w:rFonts w:ascii="Times New Roman" w:eastAsia="Times New Roman" w:hAnsi="Times New Roman" w:cs="Times New Roman"/>
          <w:color w:val="222222"/>
          <w:sz w:val="24"/>
          <w:szCs w:val="24"/>
          <w:lang w:eastAsia="es-CO"/>
        </w:rPr>
        <w:t>esencialmente</w:t>
      </w:r>
      <w:r w:rsidRPr="000F0FEE">
        <w:rPr>
          <w:rFonts w:ascii="Times New Roman" w:eastAsia="Times New Roman" w:hAnsi="Times New Roman" w:cs="Times New Roman"/>
          <w:color w:val="222222"/>
          <w:sz w:val="24"/>
          <w:szCs w:val="24"/>
          <w:lang w:eastAsia="es-CO"/>
        </w:rPr>
        <w:t xml:space="preserve"> en términos del gasto social.</w:t>
      </w:r>
      <w:r w:rsidR="00F96FF3" w:rsidRPr="000F0FEE">
        <w:rPr>
          <w:rFonts w:ascii="Times New Roman" w:eastAsia="Times New Roman" w:hAnsi="Times New Roman" w:cs="Times New Roman"/>
          <w:color w:val="222222"/>
          <w:sz w:val="24"/>
          <w:szCs w:val="24"/>
          <w:lang w:eastAsia="es-CO"/>
        </w:rPr>
        <w:t xml:space="preserve"> (Corredor y Martínez, 2020)</w:t>
      </w:r>
    </w:p>
    <w:p w14:paraId="0D591999" w14:textId="4A2279CE" w:rsidR="005C469C" w:rsidRDefault="00F310E3" w:rsidP="005C469C">
      <w:pPr>
        <w:pStyle w:val="Textoindependiente"/>
        <w:spacing w:line="360" w:lineRule="auto"/>
        <w:jc w:val="both"/>
        <w:rPr>
          <w:rFonts w:ascii="Times New Roman" w:hAnsi="Times New Roman" w:cs="Times New Roman"/>
          <w:sz w:val="24"/>
          <w:szCs w:val="24"/>
        </w:rPr>
      </w:pPr>
      <w:r w:rsidRPr="000F0FEE">
        <w:rPr>
          <w:rFonts w:ascii="Times New Roman" w:hAnsi="Times New Roman" w:cs="Times New Roman"/>
          <w:sz w:val="24"/>
          <w:szCs w:val="24"/>
        </w:rPr>
        <w:t>E</w:t>
      </w:r>
      <w:r w:rsidR="00906935" w:rsidRPr="000F0FEE">
        <w:rPr>
          <w:rFonts w:ascii="Times New Roman" w:hAnsi="Times New Roman" w:cs="Times New Roman"/>
          <w:sz w:val="24"/>
          <w:szCs w:val="24"/>
        </w:rPr>
        <w:t xml:space="preserve">l objetivo de esta investigación es mostrar si hay alguna correlación </w:t>
      </w:r>
      <w:r w:rsidR="005C469C" w:rsidRPr="000F0FEE">
        <w:rPr>
          <w:rFonts w:ascii="Times New Roman" w:hAnsi="Times New Roman" w:cs="Times New Roman"/>
          <w:sz w:val="24"/>
          <w:szCs w:val="24"/>
        </w:rPr>
        <w:t>entre la incidencia por COVID-19 en Colombia</w:t>
      </w:r>
      <w:r w:rsidR="005C469C" w:rsidRPr="000F0FEE">
        <w:rPr>
          <w:rFonts w:ascii="Times New Roman" w:hAnsi="Times New Roman" w:cs="Times New Roman"/>
          <w:sz w:val="24"/>
          <w:szCs w:val="24"/>
          <w:lang w:eastAsia="es-CO"/>
        </w:rPr>
        <w:t>, y el precio del petróleo Brent</w:t>
      </w:r>
      <w:r w:rsidR="005D0A5A" w:rsidRPr="000F0FEE">
        <w:rPr>
          <w:rFonts w:ascii="Times New Roman" w:hAnsi="Times New Roman" w:cs="Times New Roman"/>
          <w:sz w:val="24"/>
          <w:szCs w:val="24"/>
          <w:lang w:eastAsia="es-CO"/>
        </w:rPr>
        <w:t xml:space="preserve"> que es el referente de</w:t>
      </w:r>
      <w:r w:rsidR="005D0A5A" w:rsidRPr="000F0FEE">
        <w:rPr>
          <w:rFonts w:ascii="Times New Roman" w:hAnsi="Times New Roman" w:cs="Times New Roman"/>
          <w:sz w:val="24"/>
          <w:szCs w:val="24"/>
        </w:rPr>
        <w:t xml:space="preserve"> Colombia para sus cuentas fiscales</w:t>
      </w:r>
      <w:r w:rsidR="00091742" w:rsidRPr="000F0FEE">
        <w:rPr>
          <w:rFonts w:ascii="Times New Roman" w:hAnsi="Times New Roman" w:cs="Times New Roman"/>
          <w:sz w:val="24"/>
          <w:szCs w:val="24"/>
        </w:rPr>
        <w:t>,</w:t>
      </w:r>
      <w:r w:rsidR="005D0A5A" w:rsidRPr="000F0FEE">
        <w:rPr>
          <w:rFonts w:ascii="Times New Roman" w:hAnsi="Times New Roman" w:cs="Times New Roman"/>
          <w:sz w:val="24"/>
          <w:szCs w:val="24"/>
          <w:lang w:eastAsia="es-CO"/>
        </w:rPr>
        <w:t xml:space="preserve"> </w:t>
      </w:r>
      <w:r w:rsidR="005C469C" w:rsidRPr="000F0FEE">
        <w:rPr>
          <w:rFonts w:ascii="Times New Roman" w:hAnsi="Times New Roman" w:cs="Times New Roman"/>
          <w:sz w:val="24"/>
          <w:szCs w:val="24"/>
          <w:lang w:eastAsia="es-CO"/>
        </w:rPr>
        <w:t xml:space="preserve">durante el período comprendido entre </w:t>
      </w:r>
      <w:r w:rsidR="005C469C" w:rsidRPr="000F0FEE">
        <w:rPr>
          <w:rFonts w:ascii="Times New Roman" w:hAnsi="Times New Roman" w:cs="Times New Roman"/>
          <w:sz w:val="24"/>
          <w:szCs w:val="24"/>
        </w:rPr>
        <w:t>marzo de 2020 a diciembre de 2021.</w:t>
      </w:r>
      <w:r w:rsidR="00EB6DD9" w:rsidRPr="000F0FEE">
        <w:rPr>
          <w:rFonts w:ascii="Times New Roman" w:hAnsi="Times New Roman" w:cs="Times New Roman"/>
          <w:sz w:val="24"/>
          <w:szCs w:val="24"/>
        </w:rPr>
        <w:t xml:space="preserve"> </w:t>
      </w:r>
    </w:p>
    <w:p w14:paraId="27A7C32E" w14:textId="69F79267" w:rsidR="00485276" w:rsidRDefault="00485276" w:rsidP="005C469C">
      <w:pPr>
        <w:pStyle w:val="Textoindependiente"/>
        <w:spacing w:line="360" w:lineRule="auto"/>
        <w:jc w:val="both"/>
        <w:rPr>
          <w:rFonts w:ascii="Times New Roman" w:hAnsi="Times New Roman" w:cs="Times New Roman"/>
          <w:sz w:val="24"/>
          <w:szCs w:val="24"/>
        </w:rPr>
      </w:pPr>
    </w:p>
    <w:p w14:paraId="59B85953" w14:textId="1047B22D" w:rsidR="00485276" w:rsidRDefault="00485276" w:rsidP="005C469C">
      <w:pPr>
        <w:pStyle w:val="Textoindependiente"/>
        <w:spacing w:line="360" w:lineRule="auto"/>
        <w:jc w:val="both"/>
        <w:rPr>
          <w:rFonts w:ascii="Times New Roman" w:hAnsi="Times New Roman" w:cs="Times New Roman"/>
          <w:sz w:val="24"/>
          <w:szCs w:val="24"/>
        </w:rPr>
      </w:pPr>
    </w:p>
    <w:p w14:paraId="298B26D7" w14:textId="77777777" w:rsidR="00485276" w:rsidRPr="000F0FEE" w:rsidRDefault="00485276" w:rsidP="005C469C">
      <w:pPr>
        <w:pStyle w:val="Textoindependiente"/>
        <w:spacing w:line="360" w:lineRule="auto"/>
        <w:jc w:val="both"/>
        <w:rPr>
          <w:rFonts w:ascii="Times New Roman" w:hAnsi="Times New Roman" w:cs="Times New Roman"/>
          <w:sz w:val="24"/>
          <w:szCs w:val="24"/>
        </w:rPr>
      </w:pPr>
    </w:p>
    <w:p w14:paraId="333CC873" w14:textId="2E37C725" w:rsidR="00237C05" w:rsidRPr="000F0FEE" w:rsidRDefault="00237C05" w:rsidP="005C469C">
      <w:pPr>
        <w:pStyle w:val="Textoindependiente"/>
        <w:spacing w:line="360" w:lineRule="auto"/>
        <w:jc w:val="both"/>
        <w:rPr>
          <w:rFonts w:ascii="Times New Roman" w:hAnsi="Times New Roman" w:cs="Times New Roman"/>
          <w:b/>
          <w:bCs/>
          <w:sz w:val="24"/>
          <w:szCs w:val="24"/>
        </w:rPr>
      </w:pPr>
      <w:r w:rsidRPr="000F0FEE">
        <w:rPr>
          <w:rFonts w:ascii="Times New Roman" w:hAnsi="Times New Roman" w:cs="Times New Roman"/>
          <w:b/>
          <w:bCs/>
          <w:sz w:val="24"/>
          <w:szCs w:val="24"/>
        </w:rPr>
        <w:t xml:space="preserve">2. </w:t>
      </w:r>
      <w:r w:rsidR="00453A4F" w:rsidRPr="000F0FEE">
        <w:rPr>
          <w:rFonts w:ascii="Times New Roman" w:hAnsi="Times New Roman" w:cs="Times New Roman"/>
          <w:b/>
          <w:bCs/>
          <w:sz w:val="24"/>
          <w:szCs w:val="24"/>
        </w:rPr>
        <w:t>MARCO TEÓRICO</w:t>
      </w:r>
    </w:p>
    <w:p w14:paraId="127102EB" w14:textId="15279E1D" w:rsidR="0080633E" w:rsidRPr="000F0FEE" w:rsidRDefault="00237C05" w:rsidP="00237C05">
      <w:pPr>
        <w:pStyle w:val="section"/>
        <w:spacing w:before="0" w:beforeAutospacing="0" w:after="480" w:afterAutospacing="0" w:line="360" w:lineRule="auto"/>
        <w:jc w:val="both"/>
        <w:rPr>
          <w:b/>
          <w:bCs/>
        </w:rPr>
      </w:pPr>
      <w:r w:rsidRPr="000F0FEE">
        <w:rPr>
          <w:b/>
          <w:bCs/>
        </w:rPr>
        <w:t xml:space="preserve">2. 1. </w:t>
      </w:r>
      <w:r w:rsidR="0080633E" w:rsidRPr="000F0FEE">
        <w:rPr>
          <w:b/>
          <w:bCs/>
        </w:rPr>
        <w:t>Correlación lineal de Pearson</w:t>
      </w:r>
    </w:p>
    <w:p w14:paraId="1489BE2D" w14:textId="19B994FB" w:rsidR="0080633E" w:rsidRPr="000F0FEE" w:rsidRDefault="0080633E" w:rsidP="00A92B0C">
      <w:pPr>
        <w:pStyle w:val="NormalWeb"/>
        <w:shd w:val="clear" w:color="auto" w:fill="FFFFFF"/>
        <w:spacing w:before="150" w:beforeAutospacing="0" w:after="150" w:afterAutospacing="0" w:line="360" w:lineRule="auto"/>
        <w:textAlignment w:val="baseline"/>
      </w:pPr>
      <w:r w:rsidRPr="000F0FEE">
        <w:t>La cuantificación de la fuerza de la relación lineal entre dos variables cuantitativas se estudia por medio del cálculo del coeficiente de correlación de Pearson. Este coeficiente oscila entre -1 y +1. Un valor de -1 indica una relación lineal o línea recta positiva perfecta. Una correlación próxima a cero indica que no hay relación lineal entre las dos variables</w:t>
      </w:r>
      <w:r w:rsidR="008C1E97" w:rsidRPr="000F0FEE">
        <w:t xml:space="preserve"> (Pita, 2021).</w:t>
      </w:r>
      <w:r w:rsidRPr="000F0FEE">
        <w:t xml:space="preserve"> En la </w:t>
      </w:r>
      <w:r w:rsidRPr="000F0FEE">
        <w:rPr>
          <w:b/>
          <w:bCs/>
        </w:rPr>
        <w:t xml:space="preserve">tabla 1 </w:t>
      </w:r>
      <w:r w:rsidRPr="000F0FEE">
        <w:t>se aprecia la escala de coeficiente de correlación de Pearson</w:t>
      </w:r>
      <w:r w:rsidR="008C1E97" w:rsidRPr="000F0FEE">
        <w:t xml:space="preserve"> (Suárez, 2021).</w:t>
      </w:r>
    </w:p>
    <w:p w14:paraId="00E1EBEA" w14:textId="61B2D7DA" w:rsidR="001278B6" w:rsidRPr="000F0FEE" w:rsidRDefault="002A4CA1" w:rsidP="002A4CA1">
      <w:pPr>
        <w:pStyle w:val="NormalWeb"/>
        <w:shd w:val="clear" w:color="auto" w:fill="FFFFFF"/>
        <w:spacing w:before="150" w:beforeAutospacing="0" w:after="150" w:afterAutospacing="0" w:line="360" w:lineRule="auto"/>
        <w:jc w:val="center"/>
        <w:textAlignment w:val="baseline"/>
      </w:pPr>
      <w:r w:rsidRPr="000F0FEE">
        <w:rPr>
          <w:b/>
          <w:bCs/>
        </w:rPr>
        <w:t>Tabla 1</w:t>
      </w:r>
      <w:r w:rsidRPr="000F0FEE">
        <w:t>. Escala de Coeficiente de Correlación de Pearson</w:t>
      </w:r>
    </w:p>
    <w:tbl>
      <w:tblPr>
        <w:tblW w:w="5802" w:type="dxa"/>
        <w:jc w:val="center"/>
        <w:tblCellMar>
          <w:left w:w="70" w:type="dxa"/>
          <w:right w:w="70" w:type="dxa"/>
        </w:tblCellMar>
        <w:tblLook w:val="04A0" w:firstRow="1" w:lastRow="0" w:firstColumn="1" w:lastColumn="0" w:noHBand="0" w:noVBand="1"/>
      </w:tblPr>
      <w:tblGrid>
        <w:gridCol w:w="1550"/>
        <w:gridCol w:w="4252"/>
      </w:tblGrid>
      <w:tr w:rsidR="0080633E" w:rsidRPr="000F0FEE" w14:paraId="2B43E061" w14:textId="77777777" w:rsidTr="008E0FCE">
        <w:trPr>
          <w:trHeight w:val="315"/>
          <w:jc w:val="center"/>
        </w:trPr>
        <w:tc>
          <w:tcPr>
            <w:tcW w:w="1550" w:type="dxa"/>
            <w:tcBorders>
              <w:top w:val="single" w:sz="8" w:space="0" w:color="auto"/>
              <w:left w:val="single" w:sz="8" w:space="0" w:color="auto"/>
              <w:bottom w:val="single" w:sz="8" w:space="0" w:color="auto"/>
              <w:right w:val="single" w:sz="8" w:space="0" w:color="auto"/>
            </w:tcBorders>
            <w:shd w:val="clear" w:color="auto" w:fill="4472C4" w:themeFill="accent1"/>
            <w:vAlign w:val="center"/>
            <w:hideMark/>
          </w:tcPr>
          <w:p w14:paraId="03517ECC" w14:textId="77777777" w:rsidR="0080633E" w:rsidRPr="000F0FEE" w:rsidRDefault="0080633E" w:rsidP="00282AA7">
            <w:pPr>
              <w:spacing w:after="0" w:line="240" w:lineRule="auto"/>
              <w:jc w:val="center"/>
              <w:rPr>
                <w:rFonts w:ascii="Times New Roman" w:eastAsia="Times New Roman" w:hAnsi="Times New Roman" w:cs="Times New Roman"/>
                <w:b/>
                <w:bCs/>
                <w:color w:val="FFFFFF" w:themeColor="background1"/>
                <w:sz w:val="24"/>
                <w:szCs w:val="24"/>
                <w:lang w:eastAsia="es-CO"/>
              </w:rPr>
            </w:pPr>
            <w:r w:rsidRPr="000F0FEE">
              <w:rPr>
                <w:rFonts w:ascii="Times New Roman" w:eastAsia="Times New Roman" w:hAnsi="Times New Roman" w:cs="Times New Roman"/>
                <w:b/>
                <w:bCs/>
                <w:color w:val="FFFFFF" w:themeColor="background1"/>
                <w:sz w:val="24"/>
                <w:szCs w:val="24"/>
                <w:lang w:eastAsia="es-CO"/>
              </w:rPr>
              <w:t>Valor</w:t>
            </w:r>
          </w:p>
        </w:tc>
        <w:tc>
          <w:tcPr>
            <w:tcW w:w="4252" w:type="dxa"/>
            <w:tcBorders>
              <w:top w:val="single" w:sz="8" w:space="0" w:color="auto"/>
              <w:left w:val="nil"/>
              <w:bottom w:val="single" w:sz="8" w:space="0" w:color="auto"/>
              <w:right w:val="single" w:sz="8" w:space="0" w:color="auto"/>
            </w:tcBorders>
            <w:shd w:val="clear" w:color="auto" w:fill="4472C4" w:themeFill="accent1"/>
            <w:vAlign w:val="center"/>
            <w:hideMark/>
          </w:tcPr>
          <w:p w14:paraId="6879FF4B" w14:textId="77777777" w:rsidR="0080633E" w:rsidRPr="000F0FEE" w:rsidRDefault="0080633E" w:rsidP="00282AA7">
            <w:pPr>
              <w:spacing w:after="0" w:line="240" w:lineRule="auto"/>
              <w:jc w:val="center"/>
              <w:rPr>
                <w:rFonts w:ascii="Times New Roman" w:eastAsia="Times New Roman" w:hAnsi="Times New Roman" w:cs="Times New Roman"/>
                <w:b/>
                <w:bCs/>
                <w:color w:val="FFFFFF" w:themeColor="background1"/>
                <w:sz w:val="24"/>
                <w:szCs w:val="24"/>
                <w:lang w:eastAsia="es-CO"/>
              </w:rPr>
            </w:pPr>
            <w:r w:rsidRPr="000F0FEE">
              <w:rPr>
                <w:rFonts w:ascii="Times New Roman" w:eastAsia="Times New Roman" w:hAnsi="Times New Roman" w:cs="Times New Roman"/>
                <w:b/>
                <w:bCs/>
                <w:color w:val="FFFFFF" w:themeColor="background1"/>
                <w:sz w:val="24"/>
                <w:szCs w:val="24"/>
                <w:lang w:eastAsia="es-CO"/>
              </w:rPr>
              <w:t>Significado</w:t>
            </w:r>
          </w:p>
        </w:tc>
      </w:tr>
      <w:tr w:rsidR="0080633E" w:rsidRPr="000F0FEE" w14:paraId="53C82213" w14:textId="77777777" w:rsidTr="008E0FCE">
        <w:trPr>
          <w:trHeight w:val="315"/>
          <w:jc w:val="center"/>
        </w:trPr>
        <w:tc>
          <w:tcPr>
            <w:tcW w:w="1550" w:type="dxa"/>
            <w:tcBorders>
              <w:top w:val="nil"/>
              <w:left w:val="single" w:sz="8" w:space="0" w:color="auto"/>
              <w:bottom w:val="single" w:sz="8" w:space="0" w:color="auto"/>
              <w:right w:val="single" w:sz="8" w:space="0" w:color="auto"/>
            </w:tcBorders>
            <w:shd w:val="clear" w:color="000000" w:fill="FFFFFF"/>
            <w:vAlign w:val="center"/>
            <w:hideMark/>
          </w:tcPr>
          <w:p w14:paraId="6603A494" w14:textId="77777777" w:rsidR="0080633E" w:rsidRPr="000F0FEE" w:rsidRDefault="0080633E" w:rsidP="00282AA7">
            <w:pPr>
              <w:spacing w:after="0" w:line="240" w:lineRule="auto"/>
              <w:jc w:val="center"/>
              <w:rPr>
                <w:rFonts w:ascii="Times New Roman" w:eastAsia="Times New Roman" w:hAnsi="Times New Roman" w:cs="Times New Roman"/>
                <w:color w:val="000000"/>
                <w:sz w:val="24"/>
                <w:szCs w:val="24"/>
                <w:lang w:eastAsia="es-CO"/>
              </w:rPr>
            </w:pPr>
            <w:r w:rsidRPr="000F0FEE">
              <w:rPr>
                <w:rFonts w:ascii="Times New Roman" w:eastAsia="Times New Roman" w:hAnsi="Times New Roman" w:cs="Times New Roman"/>
                <w:color w:val="000000"/>
                <w:sz w:val="24"/>
                <w:szCs w:val="24"/>
                <w:lang w:eastAsia="es-CO"/>
              </w:rPr>
              <w:t>-1</w:t>
            </w:r>
          </w:p>
        </w:tc>
        <w:tc>
          <w:tcPr>
            <w:tcW w:w="4252" w:type="dxa"/>
            <w:tcBorders>
              <w:top w:val="nil"/>
              <w:left w:val="nil"/>
              <w:bottom w:val="single" w:sz="8" w:space="0" w:color="auto"/>
              <w:right w:val="single" w:sz="8" w:space="0" w:color="auto"/>
            </w:tcBorders>
            <w:shd w:val="clear" w:color="000000" w:fill="FFFFFF"/>
            <w:vAlign w:val="center"/>
            <w:hideMark/>
          </w:tcPr>
          <w:p w14:paraId="34CDBC93" w14:textId="77777777" w:rsidR="0080633E" w:rsidRPr="000F0FEE" w:rsidRDefault="0080633E" w:rsidP="00282AA7">
            <w:pPr>
              <w:spacing w:after="0" w:line="240" w:lineRule="auto"/>
              <w:rPr>
                <w:rFonts w:ascii="Times New Roman" w:eastAsia="Times New Roman" w:hAnsi="Times New Roman" w:cs="Times New Roman"/>
                <w:color w:val="000000"/>
                <w:sz w:val="24"/>
                <w:szCs w:val="24"/>
                <w:lang w:eastAsia="es-CO"/>
              </w:rPr>
            </w:pPr>
            <w:r w:rsidRPr="000F0FEE">
              <w:rPr>
                <w:rFonts w:ascii="Times New Roman" w:eastAsia="Times New Roman" w:hAnsi="Times New Roman" w:cs="Times New Roman"/>
                <w:color w:val="000000"/>
                <w:sz w:val="24"/>
                <w:szCs w:val="24"/>
                <w:lang w:eastAsia="es-CO"/>
              </w:rPr>
              <w:t>Correlación negativa grande y perfecta</w:t>
            </w:r>
          </w:p>
        </w:tc>
      </w:tr>
      <w:tr w:rsidR="0080633E" w:rsidRPr="000F0FEE" w14:paraId="231DDF9A" w14:textId="77777777" w:rsidTr="008E0FCE">
        <w:trPr>
          <w:trHeight w:val="315"/>
          <w:jc w:val="center"/>
        </w:trPr>
        <w:tc>
          <w:tcPr>
            <w:tcW w:w="1550" w:type="dxa"/>
            <w:tcBorders>
              <w:top w:val="nil"/>
              <w:left w:val="single" w:sz="8" w:space="0" w:color="auto"/>
              <w:bottom w:val="single" w:sz="8" w:space="0" w:color="auto"/>
              <w:right w:val="single" w:sz="8" w:space="0" w:color="auto"/>
            </w:tcBorders>
            <w:shd w:val="clear" w:color="auto" w:fill="9CC2E5" w:themeFill="accent5" w:themeFillTint="99"/>
            <w:vAlign w:val="center"/>
            <w:hideMark/>
          </w:tcPr>
          <w:p w14:paraId="3FD02877" w14:textId="77777777" w:rsidR="0080633E" w:rsidRPr="000F0FEE" w:rsidRDefault="0080633E" w:rsidP="00282AA7">
            <w:pPr>
              <w:spacing w:after="0" w:line="240" w:lineRule="auto"/>
              <w:jc w:val="center"/>
              <w:rPr>
                <w:rFonts w:ascii="Times New Roman" w:eastAsia="Times New Roman" w:hAnsi="Times New Roman" w:cs="Times New Roman"/>
                <w:color w:val="000000"/>
                <w:sz w:val="24"/>
                <w:szCs w:val="24"/>
                <w:lang w:eastAsia="es-CO"/>
              </w:rPr>
            </w:pPr>
            <w:r w:rsidRPr="000F0FEE">
              <w:rPr>
                <w:rFonts w:ascii="Times New Roman" w:eastAsia="Times New Roman" w:hAnsi="Times New Roman" w:cs="Times New Roman"/>
                <w:color w:val="000000"/>
                <w:sz w:val="24"/>
                <w:szCs w:val="24"/>
                <w:lang w:eastAsia="es-CO"/>
              </w:rPr>
              <w:t>-0,9 a -0,99</w:t>
            </w:r>
          </w:p>
        </w:tc>
        <w:tc>
          <w:tcPr>
            <w:tcW w:w="4252" w:type="dxa"/>
            <w:tcBorders>
              <w:top w:val="nil"/>
              <w:left w:val="nil"/>
              <w:bottom w:val="single" w:sz="8" w:space="0" w:color="auto"/>
              <w:right w:val="single" w:sz="8" w:space="0" w:color="auto"/>
            </w:tcBorders>
            <w:shd w:val="clear" w:color="auto" w:fill="9CC2E5" w:themeFill="accent5" w:themeFillTint="99"/>
            <w:vAlign w:val="center"/>
            <w:hideMark/>
          </w:tcPr>
          <w:p w14:paraId="2FAD36D9" w14:textId="77777777" w:rsidR="0080633E" w:rsidRPr="000F0FEE" w:rsidRDefault="0080633E" w:rsidP="00282AA7">
            <w:pPr>
              <w:spacing w:after="0" w:line="240" w:lineRule="auto"/>
              <w:rPr>
                <w:rFonts w:ascii="Times New Roman" w:eastAsia="Times New Roman" w:hAnsi="Times New Roman" w:cs="Times New Roman"/>
                <w:color w:val="000000"/>
                <w:sz w:val="24"/>
                <w:szCs w:val="24"/>
                <w:lang w:eastAsia="es-CO"/>
              </w:rPr>
            </w:pPr>
            <w:r w:rsidRPr="000F0FEE">
              <w:rPr>
                <w:rFonts w:ascii="Times New Roman" w:eastAsia="Times New Roman" w:hAnsi="Times New Roman" w:cs="Times New Roman"/>
                <w:color w:val="000000"/>
                <w:sz w:val="24"/>
                <w:szCs w:val="24"/>
                <w:lang w:eastAsia="es-CO"/>
              </w:rPr>
              <w:t>Correlación negativa muy alta</w:t>
            </w:r>
          </w:p>
        </w:tc>
      </w:tr>
      <w:tr w:rsidR="0080633E" w:rsidRPr="000F0FEE" w14:paraId="4543FC49" w14:textId="77777777" w:rsidTr="008E0FCE">
        <w:trPr>
          <w:trHeight w:val="315"/>
          <w:jc w:val="center"/>
        </w:trPr>
        <w:tc>
          <w:tcPr>
            <w:tcW w:w="1550" w:type="dxa"/>
            <w:tcBorders>
              <w:top w:val="nil"/>
              <w:left w:val="single" w:sz="8" w:space="0" w:color="auto"/>
              <w:bottom w:val="single" w:sz="8" w:space="0" w:color="auto"/>
              <w:right w:val="single" w:sz="8" w:space="0" w:color="auto"/>
            </w:tcBorders>
            <w:shd w:val="clear" w:color="000000" w:fill="FFFFFF"/>
            <w:vAlign w:val="center"/>
            <w:hideMark/>
          </w:tcPr>
          <w:p w14:paraId="4C17D656" w14:textId="77777777" w:rsidR="0080633E" w:rsidRPr="000F0FEE" w:rsidRDefault="0080633E" w:rsidP="00282AA7">
            <w:pPr>
              <w:spacing w:after="0" w:line="240" w:lineRule="auto"/>
              <w:jc w:val="center"/>
              <w:rPr>
                <w:rFonts w:ascii="Times New Roman" w:eastAsia="Times New Roman" w:hAnsi="Times New Roman" w:cs="Times New Roman"/>
                <w:color w:val="000000"/>
                <w:sz w:val="24"/>
                <w:szCs w:val="24"/>
                <w:lang w:eastAsia="es-CO"/>
              </w:rPr>
            </w:pPr>
            <w:r w:rsidRPr="000F0FEE">
              <w:rPr>
                <w:rFonts w:ascii="Times New Roman" w:eastAsia="Times New Roman" w:hAnsi="Times New Roman" w:cs="Times New Roman"/>
                <w:color w:val="000000"/>
                <w:sz w:val="24"/>
                <w:szCs w:val="24"/>
                <w:lang w:eastAsia="es-CO"/>
              </w:rPr>
              <w:t>-0,7 a -0,89</w:t>
            </w:r>
          </w:p>
        </w:tc>
        <w:tc>
          <w:tcPr>
            <w:tcW w:w="4252" w:type="dxa"/>
            <w:tcBorders>
              <w:top w:val="nil"/>
              <w:left w:val="nil"/>
              <w:bottom w:val="single" w:sz="8" w:space="0" w:color="auto"/>
              <w:right w:val="single" w:sz="8" w:space="0" w:color="auto"/>
            </w:tcBorders>
            <w:shd w:val="clear" w:color="000000" w:fill="FFFFFF"/>
            <w:vAlign w:val="center"/>
            <w:hideMark/>
          </w:tcPr>
          <w:p w14:paraId="49866E58" w14:textId="77777777" w:rsidR="0080633E" w:rsidRPr="000F0FEE" w:rsidRDefault="0080633E" w:rsidP="00282AA7">
            <w:pPr>
              <w:spacing w:after="0" w:line="240" w:lineRule="auto"/>
              <w:rPr>
                <w:rFonts w:ascii="Times New Roman" w:eastAsia="Times New Roman" w:hAnsi="Times New Roman" w:cs="Times New Roman"/>
                <w:color w:val="000000"/>
                <w:sz w:val="24"/>
                <w:szCs w:val="24"/>
                <w:lang w:eastAsia="es-CO"/>
              </w:rPr>
            </w:pPr>
            <w:r w:rsidRPr="000F0FEE">
              <w:rPr>
                <w:rFonts w:ascii="Times New Roman" w:eastAsia="Times New Roman" w:hAnsi="Times New Roman" w:cs="Times New Roman"/>
                <w:color w:val="000000"/>
                <w:sz w:val="24"/>
                <w:szCs w:val="24"/>
                <w:lang w:eastAsia="es-CO"/>
              </w:rPr>
              <w:t>Correlación negativa alta</w:t>
            </w:r>
          </w:p>
        </w:tc>
      </w:tr>
      <w:tr w:rsidR="0080633E" w:rsidRPr="000F0FEE" w14:paraId="40F5391D" w14:textId="77777777" w:rsidTr="008E0FCE">
        <w:trPr>
          <w:trHeight w:val="315"/>
          <w:jc w:val="center"/>
        </w:trPr>
        <w:tc>
          <w:tcPr>
            <w:tcW w:w="1550" w:type="dxa"/>
            <w:tcBorders>
              <w:top w:val="nil"/>
              <w:left w:val="single" w:sz="8" w:space="0" w:color="auto"/>
              <w:bottom w:val="single" w:sz="8" w:space="0" w:color="auto"/>
              <w:right w:val="single" w:sz="8" w:space="0" w:color="auto"/>
            </w:tcBorders>
            <w:shd w:val="clear" w:color="auto" w:fill="9CC2E5" w:themeFill="accent5" w:themeFillTint="99"/>
            <w:vAlign w:val="center"/>
            <w:hideMark/>
          </w:tcPr>
          <w:p w14:paraId="5C325FF3" w14:textId="77777777" w:rsidR="0080633E" w:rsidRPr="000F0FEE" w:rsidRDefault="0080633E" w:rsidP="00282AA7">
            <w:pPr>
              <w:spacing w:after="0" w:line="240" w:lineRule="auto"/>
              <w:jc w:val="center"/>
              <w:rPr>
                <w:rFonts w:ascii="Times New Roman" w:eastAsia="Times New Roman" w:hAnsi="Times New Roman" w:cs="Times New Roman"/>
                <w:color w:val="000000"/>
                <w:sz w:val="24"/>
                <w:szCs w:val="24"/>
                <w:lang w:eastAsia="es-CO"/>
              </w:rPr>
            </w:pPr>
            <w:r w:rsidRPr="000F0FEE">
              <w:rPr>
                <w:rFonts w:ascii="Times New Roman" w:eastAsia="Times New Roman" w:hAnsi="Times New Roman" w:cs="Times New Roman"/>
                <w:color w:val="000000"/>
                <w:sz w:val="24"/>
                <w:szCs w:val="24"/>
                <w:lang w:eastAsia="es-CO"/>
              </w:rPr>
              <w:t>-0,4 a -0,69</w:t>
            </w:r>
          </w:p>
        </w:tc>
        <w:tc>
          <w:tcPr>
            <w:tcW w:w="4252" w:type="dxa"/>
            <w:tcBorders>
              <w:top w:val="nil"/>
              <w:left w:val="nil"/>
              <w:bottom w:val="single" w:sz="8" w:space="0" w:color="auto"/>
              <w:right w:val="single" w:sz="8" w:space="0" w:color="auto"/>
            </w:tcBorders>
            <w:shd w:val="clear" w:color="auto" w:fill="9CC2E5" w:themeFill="accent5" w:themeFillTint="99"/>
            <w:vAlign w:val="center"/>
            <w:hideMark/>
          </w:tcPr>
          <w:p w14:paraId="1397C88B" w14:textId="77777777" w:rsidR="0080633E" w:rsidRPr="000F0FEE" w:rsidRDefault="0080633E" w:rsidP="00282AA7">
            <w:pPr>
              <w:spacing w:after="0" w:line="240" w:lineRule="auto"/>
              <w:rPr>
                <w:rFonts w:ascii="Times New Roman" w:eastAsia="Times New Roman" w:hAnsi="Times New Roman" w:cs="Times New Roman"/>
                <w:color w:val="000000"/>
                <w:sz w:val="24"/>
                <w:szCs w:val="24"/>
                <w:lang w:eastAsia="es-CO"/>
              </w:rPr>
            </w:pPr>
            <w:r w:rsidRPr="000F0FEE">
              <w:rPr>
                <w:rFonts w:ascii="Times New Roman" w:eastAsia="Times New Roman" w:hAnsi="Times New Roman" w:cs="Times New Roman"/>
                <w:color w:val="000000"/>
                <w:sz w:val="24"/>
                <w:szCs w:val="24"/>
                <w:lang w:eastAsia="es-CO"/>
              </w:rPr>
              <w:t>Correlación negativa moderada</w:t>
            </w:r>
          </w:p>
        </w:tc>
      </w:tr>
      <w:tr w:rsidR="0080633E" w:rsidRPr="000F0FEE" w14:paraId="710AEC33" w14:textId="77777777" w:rsidTr="008E0FCE">
        <w:trPr>
          <w:trHeight w:val="315"/>
          <w:jc w:val="center"/>
        </w:trPr>
        <w:tc>
          <w:tcPr>
            <w:tcW w:w="1550" w:type="dxa"/>
            <w:tcBorders>
              <w:top w:val="nil"/>
              <w:left w:val="single" w:sz="8" w:space="0" w:color="auto"/>
              <w:bottom w:val="single" w:sz="8" w:space="0" w:color="auto"/>
              <w:right w:val="single" w:sz="8" w:space="0" w:color="auto"/>
            </w:tcBorders>
            <w:shd w:val="clear" w:color="000000" w:fill="FFFFFF"/>
            <w:vAlign w:val="center"/>
            <w:hideMark/>
          </w:tcPr>
          <w:p w14:paraId="1A9CE55B" w14:textId="77777777" w:rsidR="0080633E" w:rsidRPr="000F0FEE" w:rsidRDefault="0080633E" w:rsidP="00282AA7">
            <w:pPr>
              <w:spacing w:after="0" w:line="240" w:lineRule="auto"/>
              <w:jc w:val="center"/>
              <w:rPr>
                <w:rFonts w:ascii="Times New Roman" w:eastAsia="Times New Roman" w:hAnsi="Times New Roman" w:cs="Times New Roman"/>
                <w:color w:val="000000"/>
                <w:sz w:val="24"/>
                <w:szCs w:val="24"/>
                <w:lang w:eastAsia="es-CO"/>
              </w:rPr>
            </w:pPr>
            <w:r w:rsidRPr="000F0FEE">
              <w:rPr>
                <w:rFonts w:ascii="Times New Roman" w:eastAsia="Times New Roman" w:hAnsi="Times New Roman" w:cs="Times New Roman"/>
                <w:color w:val="000000"/>
                <w:sz w:val="24"/>
                <w:szCs w:val="24"/>
                <w:lang w:eastAsia="es-CO"/>
              </w:rPr>
              <w:t>-0,2 a -0,39</w:t>
            </w:r>
          </w:p>
        </w:tc>
        <w:tc>
          <w:tcPr>
            <w:tcW w:w="4252" w:type="dxa"/>
            <w:tcBorders>
              <w:top w:val="nil"/>
              <w:left w:val="nil"/>
              <w:bottom w:val="single" w:sz="8" w:space="0" w:color="auto"/>
              <w:right w:val="single" w:sz="8" w:space="0" w:color="auto"/>
            </w:tcBorders>
            <w:shd w:val="clear" w:color="000000" w:fill="FFFFFF"/>
            <w:vAlign w:val="center"/>
            <w:hideMark/>
          </w:tcPr>
          <w:p w14:paraId="1017830B" w14:textId="77777777" w:rsidR="0080633E" w:rsidRPr="000F0FEE" w:rsidRDefault="0080633E" w:rsidP="00282AA7">
            <w:pPr>
              <w:spacing w:after="0" w:line="240" w:lineRule="auto"/>
              <w:rPr>
                <w:rFonts w:ascii="Times New Roman" w:eastAsia="Times New Roman" w:hAnsi="Times New Roman" w:cs="Times New Roman"/>
                <w:color w:val="000000"/>
                <w:sz w:val="24"/>
                <w:szCs w:val="24"/>
                <w:lang w:eastAsia="es-CO"/>
              </w:rPr>
            </w:pPr>
            <w:r w:rsidRPr="000F0FEE">
              <w:rPr>
                <w:rFonts w:ascii="Times New Roman" w:eastAsia="Times New Roman" w:hAnsi="Times New Roman" w:cs="Times New Roman"/>
                <w:color w:val="000000"/>
                <w:sz w:val="24"/>
                <w:szCs w:val="24"/>
                <w:lang w:eastAsia="es-CO"/>
              </w:rPr>
              <w:t>Correlación negativa baja</w:t>
            </w:r>
          </w:p>
        </w:tc>
      </w:tr>
      <w:tr w:rsidR="0080633E" w:rsidRPr="000F0FEE" w14:paraId="3B027A47" w14:textId="77777777" w:rsidTr="008E0FCE">
        <w:trPr>
          <w:trHeight w:val="315"/>
          <w:jc w:val="center"/>
        </w:trPr>
        <w:tc>
          <w:tcPr>
            <w:tcW w:w="1550" w:type="dxa"/>
            <w:tcBorders>
              <w:top w:val="nil"/>
              <w:left w:val="single" w:sz="8" w:space="0" w:color="auto"/>
              <w:bottom w:val="single" w:sz="8" w:space="0" w:color="auto"/>
              <w:right w:val="single" w:sz="8" w:space="0" w:color="auto"/>
            </w:tcBorders>
            <w:shd w:val="clear" w:color="auto" w:fill="9CC2E5" w:themeFill="accent5" w:themeFillTint="99"/>
            <w:vAlign w:val="center"/>
            <w:hideMark/>
          </w:tcPr>
          <w:p w14:paraId="4B144B00" w14:textId="77777777" w:rsidR="0080633E" w:rsidRPr="000F0FEE" w:rsidRDefault="0080633E" w:rsidP="00282AA7">
            <w:pPr>
              <w:spacing w:after="0" w:line="240" w:lineRule="auto"/>
              <w:jc w:val="center"/>
              <w:rPr>
                <w:rFonts w:ascii="Times New Roman" w:eastAsia="Times New Roman" w:hAnsi="Times New Roman" w:cs="Times New Roman"/>
                <w:color w:val="000000"/>
                <w:sz w:val="24"/>
                <w:szCs w:val="24"/>
                <w:lang w:eastAsia="es-CO"/>
              </w:rPr>
            </w:pPr>
            <w:r w:rsidRPr="000F0FEE">
              <w:rPr>
                <w:rFonts w:ascii="Times New Roman" w:eastAsia="Times New Roman" w:hAnsi="Times New Roman" w:cs="Times New Roman"/>
                <w:color w:val="000000"/>
                <w:sz w:val="24"/>
                <w:szCs w:val="24"/>
                <w:lang w:eastAsia="es-CO"/>
              </w:rPr>
              <w:t>-0,01 a -0,19</w:t>
            </w:r>
          </w:p>
        </w:tc>
        <w:tc>
          <w:tcPr>
            <w:tcW w:w="4252" w:type="dxa"/>
            <w:tcBorders>
              <w:top w:val="nil"/>
              <w:left w:val="nil"/>
              <w:bottom w:val="single" w:sz="8" w:space="0" w:color="auto"/>
              <w:right w:val="single" w:sz="8" w:space="0" w:color="auto"/>
            </w:tcBorders>
            <w:shd w:val="clear" w:color="auto" w:fill="9CC2E5" w:themeFill="accent5" w:themeFillTint="99"/>
            <w:vAlign w:val="center"/>
            <w:hideMark/>
          </w:tcPr>
          <w:p w14:paraId="648E1D2F" w14:textId="77777777" w:rsidR="0080633E" w:rsidRPr="000F0FEE" w:rsidRDefault="0080633E" w:rsidP="00282AA7">
            <w:pPr>
              <w:spacing w:after="0" w:line="240" w:lineRule="auto"/>
              <w:rPr>
                <w:rFonts w:ascii="Times New Roman" w:eastAsia="Times New Roman" w:hAnsi="Times New Roman" w:cs="Times New Roman"/>
                <w:color w:val="000000"/>
                <w:sz w:val="24"/>
                <w:szCs w:val="24"/>
                <w:lang w:eastAsia="es-CO"/>
              </w:rPr>
            </w:pPr>
            <w:r w:rsidRPr="000F0FEE">
              <w:rPr>
                <w:rFonts w:ascii="Times New Roman" w:eastAsia="Times New Roman" w:hAnsi="Times New Roman" w:cs="Times New Roman"/>
                <w:color w:val="000000"/>
                <w:sz w:val="24"/>
                <w:szCs w:val="24"/>
                <w:lang w:eastAsia="es-CO"/>
              </w:rPr>
              <w:t>Correlación negativa muy baja</w:t>
            </w:r>
          </w:p>
        </w:tc>
      </w:tr>
      <w:tr w:rsidR="0080633E" w:rsidRPr="000F0FEE" w14:paraId="1325E2A1" w14:textId="77777777" w:rsidTr="008E0FCE">
        <w:trPr>
          <w:trHeight w:val="315"/>
          <w:jc w:val="center"/>
        </w:trPr>
        <w:tc>
          <w:tcPr>
            <w:tcW w:w="1550" w:type="dxa"/>
            <w:tcBorders>
              <w:top w:val="nil"/>
              <w:left w:val="single" w:sz="8" w:space="0" w:color="auto"/>
              <w:bottom w:val="single" w:sz="8" w:space="0" w:color="auto"/>
              <w:right w:val="single" w:sz="8" w:space="0" w:color="auto"/>
            </w:tcBorders>
            <w:shd w:val="clear" w:color="000000" w:fill="FFFFFF"/>
            <w:vAlign w:val="center"/>
            <w:hideMark/>
          </w:tcPr>
          <w:p w14:paraId="6919C657" w14:textId="77777777" w:rsidR="0080633E" w:rsidRPr="000F0FEE" w:rsidRDefault="0080633E" w:rsidP="00282AA7">
            <w:pPr>
              <w:spacing w:after="0" w:line="240" w:lineRule="auto"/>
              <w:jc w:val="center"/>
              <w:rPr>
                <w:rFonts w:ascii="Times New Roman" w:eastAsia="Times New Roman" w:hAnsi="Times New Roman" w:cs="Times New Roman"/>
                <w:color w:val="000000"/>
                <w:sz w:val="24"/>
                <w:szCs w:val="24"/>
                <w:lang w:eastAsia="es-CO"/>
              </w:rPr>
            </w:pPr>
            <w:r w:rsidRPr="000F0FEE">
              <w:rPr>
                <w:rFonts w:ascii="Times New Roman" w:eastAsia="Times New Roman" w:hAnsi="Times New Roman" w:cs="Times New Roman"/>
                <w:color w:val="000000"/>
                <w:sz w:val="24"/>
                <w:szCs w:val="24"/>
                <w:lang w:eastAsia="es-CO"/>
              </w:rPr>
              <w:t>0</w:t>
            </w:r>
          </w:p>
        </w:tc>
        <w:tc>
          <w:tcPr>
            <w:tcW w:w="4252" w:type="dxa"/>
            <w:tcBorders>
              <w:top w:val="nil"/>
              <w:left w:val="nil"/>
              <w:bottom w:val="single" w:sz="8" w:space="0" w:color="auto"/>
              <w:right w:val="single" w:sz="8" w:space="0" w:color="auto"/>
            </w:tcBorders>
            <w:shd w:val="clear" w:color="000000" w:fill="FFFFFF"/>
            <w:vAlign w:val="center"/>
            <w:hideMark/>
          </w:tcPr>
          <w:p w14:paraId="1CDADB90" w14:textId="77777777" w:rsidR="0080633E" w:rsidRPr="000F0FEE" w:rsidRDefault="0080633E" w:rsidP="00282AA7">
            <w:pPr>
              <w:spacing w:after="0" w:line="240" w:lineRule="auto"/>
              <w:rPr>
                <w:rFonts w:ascii="Times New Roman" w:eastAsia="Times New Roman" w:hAnsi="Times New Roman" w:cs="Times New Roman"/>
                <w:color w:val="000000"/>
                <w:sz w:val="24"/>
                <w:szCs w:val="24"/>
                <w:lang w:eastAsia="es-CO"/>
              </w:rPr>
            </w:pPr>
            <w:r w:rsidRPr="000F0FEE">
              <w:rPr>
                <w:rFonts w:ascii="Times New Roman" w:eastAsia="Times New Roman" w:hAnsi="Times New Roman" w:cs="Times New Roman"/>
                <w:color w:val="000000"/>
                <w:sz w:val="24"/>
                <w:szCs w:val="24"/>
                <w:lang w:eastAsia="es-CO"/>
              </w:rPr>
              <w:t>Correlación nula</w:t>
            </w:r>
          </w:p>
        </w:tc>
      </w:tr>
      <w:tr w:rsidR="0080633E" w:rsidRPr="000F0FEE" w14:paraId="4F4FBD95" w14:textId="77777777" w:rsidTr="008E0FCE">
        <w:trPr>
          <w:trHeight w:val="315"/>
          <w:jc w:val="center"/>
        </w:trPr>
        <w:tc>
          <w:tcPr>
            <w:tcW w:w="1550" w:type="dxa"/>
            <w:tcBorders>
              <w:top w:val="nil"/>
              <w:left w:val="single" w:sz="8" w:space="0" w:color="auto"/>
              <w:bottom w:val="single" w:sz="8" w:space="0" w:color="auto"/>
              <w:right w:val="single" w:sz="8" w:space="0" w:color="auto"/>
            </w:tcBorders>
            <w:shd w:val="clear" w:color="auto" w:fill="9CC2E5" w:themeFill="accent5" w:themeFillTint="99"/>
            <w:vAlign w:val="center"/>
            <w:hideMark/>
          </w:tcPr>
          <w:p w14:paraId="2F74009F" w14:textId="77777777" w:rsidR="0080633E" w:rsidRPr="000F0FEE" w:rsidRDefault="0080633E" w:rsidP="00282AA7">
            <w:pPr>
              <w:spacing w:after="0" w:line="240" w:lineRule="auto"/>
              <w:jc w:val="center"/>
              <w:rPr>
                <w:rFonts w:ascii="Times New Roman" w:eastAsia="Times New Roman" w:hAnsi="Times New Roman" w:cs="Times New Roman"/>
                <w:color w:val="000000"/>
                <w:sz w:val="24"/>
                <w:szCs w:val="24"/>
                <w:lang w:eastAsia="es-CO"/>
              </w:rPr>
            </w:pPr>
            <w:r w:rsidRPr="000F0FEE">
              <w:rPr>
                <w:rFonts w:ascii="Times New Roman" w:eastAsia="Times New Roman" w:hAnsi="Times New Roman" w:cs="Times New Roman"/>
                <w:color w:val="000000"/>
                <w:sz w:val="24"/>
                <w:szCs w:val="24"/>
                <w:lang w:eastAsia="es-CO"/>
              </w:rPr>
              <w:t>0,01 a 0,19</w:t>
            </w:r>
          </w:p>
        </w:tc>
        <w:tc>
          <w:tcPr>
            <w:tcW w:w="4252" w:type="dxa"/>
            <w:tcBorders>
              <w:top w:val="nil"/>
              <w:left w:val="nil"/>
              <w:bottom w:val="single" w:sz="8" w:space="0" w:color="auto"/>
              <w:right w:val="single" w:sz="8" w:space="0" w:color="auto"/>
            </w:tcBorders>
            <w:shd w:val="clear" w:color="auto" w:fill="9CC2E5" w:themeFill="accent5" w:themeFillTint="99"/>
            <w:vAlign w:val="center"/>
            <w:hideMark/>
          </w:tcPr>
          <w:p w14:paraId="1048AE34" w14:textId="77777777" w:rsidR="0080633E" w:rsidRPr="000F0FEE" w:rsidRDefault="0080633E" w:rsidP="00282AA7">
            <w:pPr>
              <w:spacing w:after="0" w:line="240" w:lineRule="auto"/>
              <w:rPr>
                <w:rFonts w:ascii="Times New Roman" w:eastAsia="Times New Roman" w:hAnsi="Times New Roman" w:cs="Times New Roman"/>
                <w:color w:val="000000"/>
                <w:sz w:val="24"/>
                <w:szCs w:val="24"/>
                <w:lang w:eastAsia="es-CO"/>
              </w:rPr>
            </w:pPr>
            <w:r w:rsidRPr="000F0FEE">
              <w:rPr>
                <w:rFonts w:ascii="Times New Roman" w:eastAsia="Times New Roman" w:hAnsi="Times New Roman" w:cs="Times New Roman"/>
                <w:color w:val="000000"/>
                <w:sz w:val="24"/>
                <w:szCs w:val="24"/>
                <w:lang w:eastAsia="es-CO"/>
              </w:rPr>
              <w:t>Correlación positiva muy baja</w:t>
            </w:r>
          </w:p>
        </w:tc>
      </w:tr>
      <w:tr w:rsidR="0080633E" w:rsidRPr="000F0FEE" w14:paraId="4EC9BA60" w14:textId="77777777" w:rsidTr="008E0FCE">
        <w:trPr>
          <w:trHeight w:val="315"/>
          <w:jc w:val="center"/>
        </w:trPr>
        <w:tc>
          <w:tcPr>
            <w:tcW w:w="1550" w:type="dxa"/>
            <w:tcBorders>
              <w:top w:val="nil"/>
              <w:left w:val="single" w:sz="8" w:space="0" w:color="auto"/>
              <w:bottom w:val="single" w:sz="8" w:space="0" w:color="auto"/>
              <w:right w:val="single" w:sz="8" w:space="0" w:color="auto"/>
            </w:tcBorders>
            <w:shd w:val="clear" w:color="000000" w:fill="FFFFFF"/>
            <w:vAlign w:val="center"/>
            <w:hideMark/>
          </w:tcPr>
          <w:p w14:paraId="4128DBEA" w14:textId="77777777" w:rsidR="0080633E" w:rsidRPr="000F0FEE" w:rsidRDefault="0080633E" w:rsidP="00282AA7">
            <w:pPr>
              <w:spacing w:after="0" w:line="240" w:lineRule="auto"/>
              <w:jc w:val="center"/>
              <w:rPr>
                <w:rFonts w:ascii="Times New Roman" w:eastAsia="Times New Roman" w:hAnsi="Times New Roman" w:cs="Times New Roman"/>
                <w:color w:val="000000"/>
                <w:sz w:val="24"/>
                <w:szCs w:val="24"/>
                <w:lang w:eastAsia="es-CO"/>
              </w:rPr>
            </w:pPr>
            <w:r w:rsidRPr="000F0FEE">
              <w:rPr>
                <w:rFonts w:ascii="Times New Roman" w:eastAsia="Times New Roman" w:hAnsi="Times New Roman" w:cs="Times New Roman"/>
                <w:color w:val="000000"/>
                <w:sz w:val="24"/>
                <w:szCs w:val="24"/>
                <w:lang w:eastAsia="es-CO"/>
              </w:rPr>
              <w:t>0,2 a 0,39</w:t>
            </w:r>
          </w:p>
        </w:tc>
        <w:tc>
          <w:tcPr>
            <w:tcW w:w="4252" w:type="dxa"/>
            <w:tcBorders>
              <w:top w:val="nil"/>
              <w:left w:val="nil"/>
              <w:bottom w:val="single" w:sz="8" w:space="0" w:color="auto"/>
              <w:right w:val="single" w:sz="8" w:space="0" w:color="auto"/>
            </w:tcBorders>
            <w:shd w:val="clear" w:color="000000" w:fill="FFFFFF"/>
            <w:vAlign w:val="center"/>
            <w:hideMark/>
          </w:tcPr>
          <w:p w14:paraId="5789713B" w14:textId="77777777" w:rsidR="0080633E" w:rsidRPr="000F0FEE" w:rsidRDefault="0080633E" w:rsidP="00282AA7">
            <w:pPr>
              <w:spacing w:after="0" w:line="240" w:lineRule="auto"/>
              <w:rPr>
                <w:rFonts w:ascii="Times New Roman" w:eastAsia="Times New Roman" w:hAnsi="Times New Roman" w:cs="Times New Roman"/>
                <w:color w:val="000000"/>
                <w:sz w:val="24"/>
                <w:szCs w:val="24"/>
                <w:lang w:eastAsia="es-CO"/>
              </w:rPr>
            </w:pPr>
            <w:r w:rsidRPr="000F0FEE">
              <w:rPr>
                <w:rFonts w:ascii="Times New Roman" w:eastAsia="Times New Roman" w:hAnsi="Times New Roman" w:cs="Times New Roman"/>
                <w:color w:val="000000"/>
                <w:sz w:val="24"/>
                <w:szCs w:val="24"/>
                <w:lang w:eastAsia="es-CO"/>
              </w:rPr>
              <w:t>Correlación positiva baja</w:t>
            </w:r>
          </w:p>
        </w:tc>
      </w:tr>
      <w:tr w:rsidR="0080633E" w:rsidRPr="000F0FEE" w14:paraId="6CF6586C" w14:textId="77777777" w:rsidTr="008E0FCE">
        <w:trPr>
          <w:trHeight w:val="315"/>
          <w:jc w:val="center"/>
        </w:trPr>
        <w:tc>
          <w:tcPr>
            <w:tcW w:w="1550" w:type="dxa"/>
            <w:tcBorders>
              <w:top w:val="nil"/>
              <w:left w:val="single" w:sz="8" w:space="0" w:color="auto"/>
              <w:bottom w:val="single" w:sz="8" w:space="0" w:color="auto"/>
              <w:right w:val="single" w:sz="8" w:space="0" w:color="auto"/>
            </w:tcBorders>
            <w:shd w:val="clear" w:color="auto" w:fill="9CC2E5" w:themeFill="accent5" w:themeFillTint="99"/>
            <w:vAlign w:val="center"/>
            <w:hideMark/>
          </w:tcPr>
          <w:p w14:paraId="2BFFDBD4" w14:textId="77777777" w:rsidR="0080633E" w:rsidRPr="000F0FEE" w:rsidRDefault="0080633E" w:rsidP="00282AA7">
            <w:pPr>
              <w:spacing w:after="0" w:line="240" w:lineRule="auto"/>
              <w:jc w:val="center"/>
              <w:rPr>
                <w:rFonts w:ascii="Times New Roman" w:eastAsia="Times New Roman" w:hAnsi="Times New Roman" w:cs="Times New Roman"/>
                <w:color w:val="000000"/>
                <w:sz w:val="24"/>
                <w:szCs w:val="24"/>
                <w:lang w:eastAsia="es-CO"/>
              </w:rPr>
            </w:pPr>
            <w:r w:rsidRPr="000F0FEE">
              <w:rPr>
                <w:rFonts w:ascii="Times New Roman" w:eastAsia="Times New Roman" w:hAnsi="Times New Roman" w:cs="Times New Roman"/>
                <w:color w:val="000000"/>
                <w:sz w:val="24"/>
                <w:szCs w:val="24"/>
                <w:lang w:eastAsia="es-CO"/>
              </w:rPr>
              <w:t>0,4 a 0,69</w:t>
            </w:r>
          </w:p>
        </w:tc>
        <w:tc>
          <w:tcPr>
            <w:tcW w:w="4252" w:type="dxa"/>
            <w:tcBorders>
              <w:top w:val="nil"/>
              <w:left w:val="nil"/>
              <w:bottom w:val="single" w:sz="8" w:space="0" w:color="auto"/>
              <w:right w:val="single" w:sz="8" w:space="0" w:color="auto"/>
            </w:tcBorders>
            <w:shd w:val="clear" w:color="auto" w:fill="9CC2E5" w:themeFill="accent5" w:themeFillTint="99"/>
            <w:vAlign w:val="center"/>
            <w:hideMark/>
          </w:tcPr>
          <w:p w14:paraId="11A11D86" w14:textId="77777777" w:rsidR="0080633E" w:rsidRPr="000F0FEE" w:rsidRDefault="0080633E" w:rsidP="00282AA7">
            <w:pPr>
              <w:spacing w:after="0" w:line="240" w:lineRule="auto"/>
              <w:rPr>
                <w:rFonts w:ascii="Times New Roman" w:eastAsia="Times New Roman" w:hAnsi="Times New Roman" w:cs="Times New Roman"/>
                <w:color w:val="000000"/>
                <w:sz w:val="24"/>
                <w:szCs w:val="24"/>
                <w:lang w:eastAsia="es-CO"/>
              </w:rPr>
            </w:pPr>
            <w:r w:rsidRPr="000F0FEE">
              <w:rPr>
                <w:rFonts w:ascii="Times New Roman" w:eastAsia="Times New Roman" w:hAnsi="Times New Roman" w:cs="Times New Roman"/>
                <w:color w:val="000000"/>
                <w:sz w:val="24"/>
                <w:szCs w:val="24"/>
                <w:lang w:eastAsia="es-CO"/>
              </w:rPr>
              <w:t>Correlación positiva moderada</w:t>
            </w:r>
          </w:p>
        </w:tc>
      </w:tr>
      <w:tr w:rsidR="0080633E" w:rsidRPr="000F0FEE" w14:paraId="6A4954EB" w14:textId="77777777" w:rsidTr="008E0FCE">
        <w:trPr>
          <w:trHeight w:val="315"/>
          <w:jc w:val="center"/>
        </w:trPr>
        <w:tc>
          <w:tcPr>
            <w:tcW w:w="1550" w:type="dxa"/>
            <w:tcBorders>
              <w:top w:val="nil"/>
              <w:left w:val="single" w:sz="8" w:space="0" w:color="auto"/>
              <w:bottom w:val="single" w:sz="8" w:space="0" w:color="auto"/>
              <w:right w:val="single" w:sz="8" w:space="0" w:color="auto"/>
            </w:tcBorders>
            <w:shd w:val="clear" w:color="000000" w:fill="FFFFFF"/>
            <w:vAlign w:val="center"/>
            <w:hideMark/>
          </w:tcPr>
          <w:p w14:paraId="41AB10A9" w14:textId="77777777" w:rsidR="0080633E" w:rsidRPr="000F0FEE" w:rsidRDefault="0080633E" w:rsidP="00282AA7">
            <w:pPr>
              <w:spacing w:after="0" w:line="240" w:lineRule="auto"/>
              <w:jc w:val="center"/>
              <w:rPr>
                <w:rFonts w:ascii="Times New Roman" w:eastAsia="Times New Roman" w:hAnsi="Times New Roman" w:cs="Times New Roman"/>
                <w:color w:val="000000"/>
                <w:sz w:val="24"/>
                <w:szCs w:val="24"/>
                <w:lang w:eastAsia="es-CO"/>
              </w:rPr>
            </w:pPr>
            <w:r w:rsidRPr="000F0FEE">
              <w:rPr>
                <w:rFonts w:ascii="Times New Roman" w:eastAsia="Times New Roman" w:hAnsi="Times New Roman" w:cs="Times New Roman"/>
                <w:color w:val="000000"/>
                <w:sz w:val="24"/>
                <w:szCs w:val="24"/>
                <w:lang w:eastAsia="es-CO"/>
              </w:rPr>
              <w:t>0,7 a 0,89</w:t>
            </w:r>
          </w:p>
        </w:tc>
        <w:tc>
          <w:tcPr>
            <w:tcW w:w="4252" w:type="dxa"/>
            <w:tcBorders>
              <w:top w:val="nil"/>
              <w:left w:val="nil"/>
              <w:bottom w:val="single" w:sz="8" w:space="0" w:color="auto"/>
              <w:right w:val="single" w:sz="8" w:space="0" w:color="auto"/>
            </w:tcBorders>
            <w:shd w:val="clear" w:color="000000" w:fill="FFFFFF"/>
            <w:vAlign w:val="center"/>
            <w:hideMark/>
          </w:tcPr>
          <w:p w14:paraId="5AAAECBF" w14:textId="77777777" w:rsidR="0080633E" w:rsidRPr="000F0FEE" w:rsidRDefault="0080633E" w:rsidP="00282AA7">
            <w:pPr>
              <w:spacing w:after="0" w:line="240" w:lineRule="auto"/>
              <w:rPr>
                <w:rFonts w:ascii="Times New Roman" w:eastAsia="Times New Roman" w:hAnsi="Times New Roman" w:cs="Times New Roman"/>
                <w:color w:val="000000"/>
                <w:sz w:val="24"/>
                <w:szCs w:val="24"/>
                <w:lang w:eastAsia="es-CO"/>
              </w:rPr>
            </w:pPr>
            <w:r w:rsidRPr="000F0FEE">
              <w:rPr>
                <w:rFonts w:ascii="Times New Roman" w:eastAsia="Times New Roman" w:hAnsi="Times New Roman" w:cs="Times New Roman"/>
                <w:color w:val="000000"/>
                <w:sz w:val="24"/>
                <w:szCs w:val="24"/>
                <w:lang w:eastAsia="es-CO"/>
              </w:rPr>
              <w:t>Correlación positiva alta</w:t>
            </w:r>
          </w:p>
        </w:tc>
      </w:tr>
      <w:tr w:rsidR="0080633E" w:rsidRPr="000F0FEE" w14:paraId="25171B81" w14:textId="77777777" w:rsidTr="008E0FCE">
        <w:trPr>
          <w:trHeight w:val="315"/>
          <w:jc w:val="center"/>
        </w:trPr>
        <w:tc>
          <w:tcPr>
            <w:tcW w:w="1550" w:type="dxa"/>
            <w:tcBorders>
              <w:top w:val="nil"/>
              <w:left w:val="single" w:sz="8" w:space="0" w:color="auto"/>
              <w:bottom w:val="single" w:sz="8" w:space="0" w:color="auto"/>
              <w:right w:val="single" w:sz="8" w:space="0" w:color="auto"/>
            </w:tcBorders>
            <w:shd w:val="clear" w:color="auto" w:fill="9CC2E5" w:themeFill="accent5" w:themeFillTint="99"/>
            <w:vAlign w:val="center"/>
            <w:hideMark/>
          </w:tcPr>
          <w:p w14:paraId="1A4BAD0A" w14:textId="77777777" w:rsidR="0080633E" w:rsidRPr="000F0FEE" w:rsidRDefault="0080633E" w:rsidP="00282AA7">
            <w:pPr>
              <w:spacing w:after="0" w:line="240" w:lineRule="auto"/>
              <w:jc w:val="center"/>
              <w:rPr>
                <w:rFonts w:ascii="Times New Roman" w:eastAsia="Times New Roman" w:hAnsi="Times New Roman" w:cs="Times New Roman"/>
                <w:color w:val="000000"/>
                <w:sz w:val="24"/>
                <w:szCs w:val="24"/>
                <w:lang w:eastAsia="es-CO"/>
              </w:rPr>
            </w:pPr>
            <w:r w:rsidRPr="000F0FEE">
              <w:rPr>
                <w:rFonts w:ascii="Times New Roman" w:eastAsia="Times New Roman" w:hAnsi="Times New Roman" w:cs="Times New Roman"/>
                <w:color w:val="000000"/>
                <w:sz w:val="24"/>
                <w:szCs w:val="24"/>
                <w:lang w:eastAsia="es-CO"/>
              </w:rPr>
              <w:t>0,9 a 0,99</w:t>
            </w:r>
          </w:p>
        </w:tc>
        <w:tc>
          <w:tcPr>
            <w:tcW w:w="4252" w:type="dxa"/>
            <w:tcBorders>
              <w:top w:val="nil"/>
              <w:left w:val="nil"/>
              <w:bottom w:val="single" w:sz="8" w:space="0" w:color="auto"/>
              <w:right w:val="single" w:sz="8" w:space="0" w:color="auto"/>
            </w:tcBorders>
            <w:shd w:val="clear" w:color="auto" w:fill="9CC2E5" w:themeFill="accent5" w:themeFillTint="99"/>
            <w:vAlign w:val="center"/>
            <w:hideMark/>
          </w:tcPr>
          <w:p w14:paraId="643A2129" w14:textId="77777777" w:rsidR="0080633E" w:rsidRPr="000F0FEE" w:rsidRDefault="0080633E" w:rsidP="00282AA7">
            <w:pPr>
              <w:spacing w:after="0" w:line="240" w:lineRule="auto"/>
              <w:rPr>
                <w:rFonts w:ascii="Times New Roman" w:eastAsia="Times New Roman" w:hAnsi="Times New Roman" w:cs="Times New Roman"/>
                <w:color w:val="000000"/>
                <w:sz w:val="24"/>
                <w:szCs w:val="24"/>
                <w:lang w:eastAsia="es-CO"/>
              </w:rPr>
            </w:pPr>
            <w:r w:rsidRPr="000F0FEE">
              <w:rPr>
                <w:rFonts w:ascii="Times New Roman" w:eastAsia="Times New Roman" w:hAnsi="Times New Roman" w:cs="Times New Roman"/>
                <w:color w:val="000000"/>
                <w:sz w:val="24"/>
                <w:szCs w:val="24"/>
                <w:lang w:eastAsia="es-CO"/>
              </w:rPr>
              <w:t>Correlación positiva muy alta</w:t>
            </w:r>
          </w:p>
        </w:tc>
      </w:tr>
      <w:tr w:rsidR="0080633E" w:rsidRPr="000F0FEE" w14:paraId="46A3DC3F" w14:textId="77777777" w:rsidTr="008E0FCE">
        <w:trPr>
          <w:trHeight w:val="315"/>
          <w:jc w:val="center"/>
        </w:trPr>
        <w:tc>
          <w:tcPr>
            <w:tcW w:w="1550" w:type="dxa"/>
            <w:tcBorders>
              <w:top w:val="nil"/>
              <w:left w:val="single" w:sz="8" w:space="0" w:color="auto"/>
              <w:bottom w:val="single" w:sz="8" w:space="0" w:color="auto"/>
              <w:right w:val="single" w:sz="8" w:space="0" w:color="auto"/>
            </w:tcBorders>
            <w:shd w:val="clear" w:color="000000" w:fill="FFFFFF"/>
            <w:vAlign w:val="center"/>
            <w:hideMark/>
          </w:tcPr>
          <w:p w14:paraId="0286F623" w14:textId="77777777" w:rsidR="0080633E" w:rsidRPr="000F0FEE" w:rsidRDefault="0080633E" w:rsidP="00282AA7">
            <w:pPr>
              <w:spacing w:after="0" w:line="240" w:lineRule="auto"/>
              <w:jc w:val="center"/>
              <w:rPr>
                <w:rFonts w:ascii="Times New Roman" w:eastAsia="Times New Roman" w:hAnsi="Times New Roman" w:cs="Times New Roman"/>
                <w:color w:val="000000"/>
                <w:sz w:val="24"/>
                <w:szCs w:val="24"/>
                <w:lang w:eastAsia="es-CO"/>
              </w:rPr>
            </w:pPr>
            <w:r w:rsidRPr="000F0FEE">
              <w:rPr>
                <w:rFonts w:ascii="Times New Roman" w:eastAsia="Times New Roman" w:hAnsi="Times New Roman" w:cs="Times New Roman"/>
                <w:color w:val="000000"/>
                <w:sz w:val="24"/>
                <w:szCs w:val="24"/>
                <w:lang w:eastAsia="es-CO"/>
              </w:rPr>
              <w:t>1</w:t>
            </w:r>
          </w:p>
        </w:tc>
        <w:tc>
          <w:tcPr>
            <w:tcW w:w="4252" w:type="dxa"/>
            <w:tcBorders>
              <w:top w:val="nil"/>
              <w:left w:val="nil"/>
              <w:bottom w:val="single" w:sz="8" w:space="0" w:color="auto"/>
              <w:right w:val="single" w:sz="8" w:space="0" w:color="auto"/>
            </w:tcBorders>
            <w:shd w:val="clear" w:color="000000" w:fill="FFFFFF"/>
            <w:vAlign w:val="center"/>
            <w:hideMark/>
          </w:tcPr>
          <w:p w14:paraId="0E9D6121" w14:textId="77777777" w:rsidR="0080633E" w:rsidRPr="000F0FEE" w:rsidRDefault="0080633E" w:rsidP="00282AA7">
            <w:pPr>
              <w:spacing w:after="0" w:line="240" w:lineRule="auto"/>
              <w:rPr>
                <w:rFonts w:ascii="Times New Roman" w:eastAsia="Times New Roman" w:hAnsi="Times New Roman" w:cs="Times New Roman"/>
                <w:color w:val="000000"/>
                <w:sz w:val="24"/>
                <w:szCs w:val="24"/>
                <w:lang w:eastAsia="es-CO"/>
              </w:rPr>
            </w:pPr>
            <w:r w:rsidRPr="000F0FEE">
              <w:rPr>
                <w:rFonts w:ascii="Times New Roman" w:eastAsia="Times New Roman" w:hAnsi="Times New Roman" w:cs="Times New Roman"/>
                <w:color w:val="000000"/>
                <w:sz w:val="24"/>
                <w:szCs w:val="24"/>
                <w:lang w:eastAsia="es-CO"/>
              </w:rPr>
              <w:t>Correlación positiva grande y perfecta</w:t>
            </w:r>
          </w:p>
        </w:tc>
      </w:tr>
    </w:tbl>
    <w:p w14:paraId="571A5AAE" w14:textId="244FC5CB" w:rsidR="0080633E" w:rsidRPr="000F0FEE" w:rsidRDefault="0080633E" w:rsidP="008C1E97">
      <w:pPr>
        <w:pStyle w:val="Textoindependiente"/>
        <w:spacing w:line="360" w:lineRule="auto"/>
        <w:rPr>
          <w:rFonts w:ascii="Times New Roman" w:hAnsi="Times New Roman" w:cs="Times New Roman"/>
          <w:color w:val="000000"/>
          <w:sz w:val="24"/>
          <w:szCs w:val="24"/>
          <w:shd w:val="clear" w:color="auto" w:fill="FFFFFF"/>
        </w:rPr>
      </w:pPr>
      <w:r w:rsidRPr="000F0FEE">
        <w:rPr>
          <w:rFonts w:ascii="Times New Roman" w:hAnsi="Times New Roman" w:cs="Times New Roman"/>
          <w:b/>
          <w:bCs/>
          <w:sz w:val="24"/>
          <w:szCs w:val="24"/>
        </w:rPr>
        <w:t xml:space="preserve">                                                           Fuente:</w:t>
      </w:r>
      <w:r w:rsidRPr="000F0FEE">
        <w:rPr>
          <w:rFonts w:ascii="Times New Roman" w:hAnsi="Times New Roman" w:cs="Times New Roman"/>
          <w:sz w:val="24"/>
          <w:szCs w:val="24"/>
        </w:rPr>
        <w:t xml:space="preserve"> </w:t>
      </w:r>
      <w:r w:rsidR="008C1E97" w:rsidRPr="000F0FEE">
        <w:rPr>
          <w:rFonts w:ascii="Times New Roman" w:hAnsi="Times New Roman" w:cs="Times New Roman"/>
          <w:sz w:val="24"/>
          <w:szCs w:val="24"/>
        </w:rPr>
        <w:t>(</w:t>
      </w:r>
      <w:r w:rsidRPr="000F0FEE">
        <w:rPr>
          <w:rFonts w:ascii="Times New Roman" w:hAnsi="Times New Roman" w:cs="Times New Roman"/>
          <w:sz w:val="24"/>
          <w:szCs w:val="24"/>
        </w:rPr>
        <w:t>Suárez</w:t>
      </w:r>
      <w:r w:rsidR="008C1E97" w:rsidRPr="000F0FEE">
        <w:rPr>
          <w:rFonts w:ascii="Times New Roman" w:hAnsi="Times New Roman" w:cs="Times New Roman"/>
          <w:sz w:val="24"/>
          <w:szCs w:val="24"/>
        </w:rPr>
        <w:t>, 2021)</w:t>
      </w:r>
    </w:p>
    <w:p w14:paraId="079E035C" w14:textId="77777777" w:rsidR="008E0FCE" w:rsidRPr="000F0FEE" w:rsidRDefault="008E0FCE" w:rsidP="0080633E">
      <w:pPr>
        <w:shd w:val="clear" w:color="auto" w:fill="FFFFFF"/>
        <w:spacing w:after="0" w:line="360" w:lineRule="auto"/>
        <w:jc w:val="both"/>
        <w:rPr>
          <w:rFonts w:ascii="Times New Roman" w:hAnsi="Times New Roman" w:cs="Times New Roman"/>
          <w:b/>
          <w:bCs/>
          <w:sz w:val="24"/>
          <w:szCs w:val="24"/>
        </w:rPr>
      </w:pPr>
    </w:p>
    <w:p w14:paraId="721C378D" w14:textId="07EC1994" w:rsidR="003E344A" w:rsidRPr="000F0FEE" w:rsidRDefault="008042D4" w:rsidP="0080633E">
      <w:pPr>
        <w:shd w:val="clear" w:color="auto" w:fill="FFFFFF"/>
        <w:spacing w:after="0" w:line="360" w:lineRule="auto"/>
        <w:jc w:val="both"/>
        <w:rPr>
          <w:rFonts w:ascii="Times New Roman" w:hAnsi="Times New Roman" w:cs="Times New Roman"/>
          <w:b/>
          <w:bCs/>
          <w:sz w:val="24"/>
          <w:szCs w:val="24"/>
        </w:rPr>
      </w:pPr>
      <w:r w:rsidRPr="000F0FEE">
        <w:rPr>
          <w:rFonts w:ascii="Times New Roman" w:hAnsi="Times New Roman" w:cs="Times New Roman"/>
          <w:b/>
          <w:bCs/>
          <w:sz w:val="24"/>
          <w:szCs w:val="24"/>
        </w:rPr>
        <w:t>3. METODOLOGÍA</w:t>
      </w:r>
    </w:p>
    <w:p w14:paraId="044AB457" w14:textId="77777777" w:rsidR="001278B6" w:rsidRPr="000F0FEE" w:rsidRDefault="001278B6" w:rsidP="0080633E">
      <w:pPr>
        <w:shd w:val="clear" w:color="auto" w:fill="FFFFFF"/>
        <w:spacing w:after="0" w:line="360" w:lineRule="auto"/>
        <w:jc w:val="both"/>
        <w:rPr>
          <w:rFonts w:ascii="Times New Roman" w:hAnsi="Times New Roman" w:cs="Times New Roman"/>
          <w:b/>
          <w:bCs/>
          <w:sz w:val="24"/>
          <w:szCs w:val="24"/>
        </w:rPr>
      </w:pPr>
    </w:p>
    <w:p w14:paraId="2875ED94" w14:textId="4999C9B0" w:rsidR="002E75C2" w:rsidRPr="000F0FEE" w:rsidRDefault="002E75C2" w:rsidP="002E75C2">
      <w:pPr>
        <w:pStyle w:val="Textoindependiente"/>
        <w:spacing w:line="360" w:lineRule="auto"/>
        <w:jc w:val="both"/>
        <w:rPr>
          <w:rFonts w:ascii="Times New Roman" w:hAnsi="Times New Roman" w:cs="Times New Roman"/>
          <w:sz w:val="24"/>
          <w:szCs w:val="24"/>
        </w:rPr>
      </w:pPr>
      <w:r w:rsidRPr="000F0FEE">
        <w:rPr>
          <w:rFonts w:ascii="Times New Roman" w:hAnsi="Times New Roman" w:cs="Times New Roman"/>
          <w:sz w:val="24"/>
          <w:szCs w:val="24"/>
        </w:rPr>
        <w:t xml:space="preserve">El trabajo de investigación se efectuó mediante un tipo experimental que es el siguiente: “aquella que permite mayor seguridad al establecer relaciones de causa a efecto pues presenta una visión general y aproximada del objeto de estudio, además de contar con una investigación </w:t>
      </w:r>
      <w:r w:rsidR="00E50976" w:rsidRPr="000F0FEE">
        <w:rPr>
          <w:rFonts w:ascii="Times New Roman" w:hAnsi="Times New Roman" w:cs="Times New Roman"/>
          <w:sz w:val="24"/>
          <w:szCs w:val="24"/>
        </w:rPr>
        <w:t>cuyo el</w:t>
      </w:r>
      <w:r w:rsidRPr="000F0FEE">
        <w:rPr>
          <w:rFonts w:ascii="Times New Roman" w:hAnsi="Times New Roman" w:cs="Times New Roman"/>
          <w:sz w:val="24"/>
          <w:szCs w:val="24"/>
        </w:rPr>
        <w:t xml:space="preserve"> diseño establece un método experimental habitual del conjunto de las normas científicas”, Monje (2011) citado por Díaz</w:t>
      </w:r>
      <w:r w:rsidR="00E50976" w:rsidRPr="000F0FEE">
        <w:rPr>
          <w:rFonts w:ascii="Times New Roman" w:hAnsi="Times New Roman" w:cs="Times New Roman"/>
          <w:sz w:val="24"/>
          <w:szCs w:val="24"/>
        </w:rPr>
        <w:t xml:space="preserve"> </w:t>
      </w:r>
      <w:r w:rsidR="00704A2F" w:rsidRPr="000F0FEE">
        <w:rPr>
          <w:rFonts w:ascii="Times New Roman" w:hAnsi="Times New Roman" w:cs="Times New Roman"/>
          <w:sz w:val="24"/>
          <w:szCs w:val="24"/>
        </w:rPr>
        <w:t>(</w:t>
      </w:r>
      <w:r w:rsidR="00E50976" w:rsidRPr="000F0FEE">
        <w:rPr>
          <w:rFonts w:ascii="Times New Roman" w:hAnsi="Times New Roman" w:cs="Times New Roman"/>
          <w:sz w:val="24"/>
          <w:szCs w:val="24"/>
        </w:rPr>
        <w:t xml:space="preserve">2020a). </w:t>
      </w:r>
      <w:r w:rsidRPr="000F0FEE">
        <w:rPr>
          <w:rFonts w:ascii="Times New Roman" w:hAnsi="Times New Roman" w:cs="Times New Roman"/>
          <w:sz w:val="24"/>
          <w:szCs w:val="24"/>
        </w:rPr>
        <w:t xml:space="preserve">  Según Shuttleworth citado por Díaz</w:t>
      </w:r>
      <w:r w:rsidR="00704A2F" w:rsidRPr="000F0FEE">
        <w:rPr>
          <w:rFonts w:ascii="Times New Roman" w:hAnsi="Times New Roman" w:cs="Times New Roman"/>
          <w:sz w:val="24"/>
          <w:szCs w:val="24"/>
        </w:rPr>
        <w:t xml:space="preserve"> (</w:t>
      </w:r>
      <w:r w:rsidR="00E50976" w:rsidRPr="000F0FEE">
        <w:rPr>
          <w:rFonts w:ascii="Times New Roman" w:hAnsi="Times New Roman" w:cs="Times New Roman"/>
          <w:sz w:val="24"/>
          <w:szCs w:val="24"/>
        </w:rPr>
        <w:t>2020b,2020c)</w:t>
      </w:r>
      <w:r w:rsidRPr="000F0FEE">
        <w:rPr>
          <w:rFonts w:ascii="Times New Roman" w:hAnsi="Times New Roman" w:cs="Times New Roman"/>
          <w:sz w:val="24"/>
          <w:szCs w:val="24"/>
        </w:rPr>
        <w:t xml:space="preserve">, menciona que “regularmente a estos experimentos se los nombra ciencia verdadera y manejan medios matemáticos y estadísticos cotidianos para evaluar los resultados de modo concluyente. Todos los experimentos cuantitativos utilizan un formato estándar con algunas pequeñas diferencias interdisciplinarias para generar una hipótesis que será probada o desmentida. Esta hipótesis debe ser demostrable por medios matemáticos y estadísticos y constituye la base alrededor de la cual se diseña todo el experimento”. </w:t>
      </w:r>
    </w:p>
    <w:p w14:paraId="47CC086F" w14:textId="26F81FA3" w:rsidR="00EB6DD9" w:rsidRPr="000F0FEE" w:rsidRDefault="00EB6DD9" w:rsidP="00EB6DD9">
      <w:pPr>
        <w:pStyle w:val="Ttulo2"/>
        <w:rPr>
          <w:rFonts w:ascii="Times New Roman" w:hAnsi="Times New Roman" w:cs="Times New Roman"/>
          <w:b/>
          <w:bCs/>
          <w:color w:val="auto"/>
          <w:sz w:val="24"/>
          <w:szCs w:val="24"/>
        </w:rPr>
      </w:pPr>
      <w:r w:rsidRPr="000F0FEE">
        <w:rPr>
          <w:rFonts w:ascii="Times New Roman" w:hAnsi="Times New Roman" w:cs="Times New Roman"/>
          <w:b/>
          <w:bCs/>
          <w:color w:val="auto"/>
          <w:sz w:val="24"/>
          <w:szCs w:val="24"/>
        </w:rPr>
        <w:t>3.1. Población</w:t>
      </w:r>
    </w:p>
    <w:p w14:paraId="796C6F2D" w14:textId="77777777" w:rsidR="00EB6DD9" w:rsidRPr="000F0FEE" w:rsidRDefault="00EB6DD9" w:rsidP="00EB6DD9">
      <w:pPr>
        <w:rPr>
          <w:rFonts w:ascii="Times New Roman" w:hAnsi="Times New Roman" w:cs="Times New Roman"/>
          <w:sz w:val="24"/>
          <w:szCs w:val="24"/>
        </w:rPr>
      </w:pPr>
    </w:p>
    <w:p w14:paraId="4FF1FDEB" w14:textId="348B80E4" w:rsidR="00EB6DD9" w:rsidRPr="000F0FEE" w:rsidRDefault="00EB6DD9" w:rsidP="00EB6DD9">
      <w:pPr>
        <w:pStyle w:val="Textoindependiente"/>
        <w:spacing w:line="360" w:lineRule="auto"/>
        <w:jc w:val="both"/>
        <w:rPr>
          <w:rFonts w:ascii="Times New Roman" w:hAnsi="Times New Roman" w:cs="Times New Roman"/>
          <w:sz w:val="24"/>
          <w:szCs w:val="24"/>
        </w:rPr>
      </w:pPr>
      <w:r w:rsidRPr="000F0FEE">
        <w:rPr>
          <w:rFonts w:ascii="Times New Roman" w:hAnsi="Times New Roman" w:cs="Times New Roman"/>
          <w:sz w:val="24"/>
          <w:szCs w:val="24"/>
        </w:rPr>
        <w:t>La información se obtuvo de la página web del Instituto Nacional de Salud de los informes diarios de los casos de contagio por COVID-19, entre el periodo comprendido entre 6 de marzo de 2020 al 31 de diciembre de 2021</w:t>
      </w:r>
      <w:r w:rsidR="00273BE8" w:rsidRPr="000F0FEE">
        <w:rPr>
          <w:rFonts w:ascii="Times New Roman" w:hAnsi="Times New Roman" w:cs="Times New Roman"/>
          <w:sz w:val="24"/>
          <w:szCs w:val="24"/>
        </w:rPr>
        <w:t>, y</w:t>
      </w:r>
      <w:r w:rsidR="00FF6B39" w:rsidRPr="000F0FEE">
        <w:rPr>
          <w:rFonts w:ascii="Times New Roman" w:hAnsi="Times New Roman" w:cs="Times New Roman"/>
          <w:sz w:val="24"/>
          <w:szCs w:val="24"/>
        </w:rPr>
        <w:t xml:space="preserve"> de los datos históricos del petróleo Brent de la página de Investing (2022).</w:t>
      </w:r>
    </w:p>
    <w:p w14:paraId="2BDB3FE7" w14:textId="77777777" w:rsidR="00EB6DD9" w:rsidRPr="000F0FEE" w:rsidRDefault="00EB6DD9" w:rsidP="002E75C2">
      <w:pPr>
        <w:pStyle w:val="Textoindependiente"/>
        <w:spacing w:line="360" w:lineRule="auto"/>
        <w:jc w:val="both"/>
        <w:rPr>
          <w:rFonts w:ascii="Times New Roman" w:hAnsi="Times New Roman" w:cs="Times New Roman"/>
          <w:sz w:val="24"/>
          <w:szCs w:val="24"/>
        </w:rPr>
      </w:pPr>
    </w:p>
    <w:p w14:paraId="2AF24E9B" w14:textId="6578B38E" w:rsidR="002E75C2" w:rsidRPr="000F0FEE" w:rsidRDefault="001278B6" w:rsidP="002E75C2">
      <w:pPr>
        <w:pStyle w:val="Ttulo2"/>
        <w:spacing w:line="360" w:lineRule="auto"/>
        <w:jc w:val="both"/>
        <w:rPr>
          <w:rFonts w:ascii="Times New Roman" w:hAnsi="Times New Roman" w:cs="Times New Roman"/>
          <w:b/>
          <w:bCs/>
          <w:color w:val="auto"/>
          <w:sz w:val="24"/>
          <w:szCs w:val="24"/>
        </w:rPr>
      </w:pPr>
      <w:r w:rsidRPr="000F0FEE">
        <w:rPr>
          <w:rFonts w:ascii="Times New Roman" w:hAnsi="Times New Roman" w:cs="Times New Roman"/>
          <w:b/>
          <w:bCs/>
          <w:color w:val="auto"/>
          <w:sz w:val="24"/>
          <w:szCs w:val="24"/>
        </w:rPr>
        <w:t xml:space="preserve">3. </w:t>
      </w:r>
      <w:r w:rsidR="00EB6DD9" w:rsidRPr="000F0FEE">
        <w:rPr>
          <w:rFonts w:ascii="Times New Roman" w:hAnsi="Times New Roman" w:cs="Times New Roman"/>
          <w:b/>
          <w:bCs/>
          <w:color w:val="auto"/>
          <w:sz w:val="24"/>
          <w:szCs w:val="24"/>
        </w:rPr>
        <w:t>2</w:t>
      </w:r>
      <w:r w:rsidRPr="000F0FEE">
        <w:rPr>
          <w:rFonts w:ascii="Times New Roman" w:hAnsi="Times New Roman" w:cs="Times New Roman"/>
          <w:b/>
          <w:bCs/>
          <w:color w:val="auto"/>
          <w:sz w:val="24"/>
          <w:szCs w:val="24"/>
        </w:rPr>
        <w:t xml:space="preserve">. </w:t>
      </w:r>
      <w:r w:rsidR="002E75C2" w:rsidRPr="000F0FEE">
        <w:rPr>
          <w:rFonts w:ascii="Times New Roman" w:hAnsi="Times New Roman" w:cs="Times New Roman"/>
          <w:b/>
          <w:bCs/>
          <w:color w:val="auto"/>
          <w:sz w:val="24"/>
          <w:szCs w:val="24"/>
        </w:rPr>
        <w:t>Formulación de hipótesis</w:t>
      </w:r>
    </w:p>
    <w:p w14:paraId="2CBE47E8" w14:textId="77777777" w:rsidR="002E75C2" w:rsidRPr="000F0FEE" w:rsidRDefault="002E75C2" w:rsidP="002E75C2">
      <w:pPr>
        <w:pStyle w:val="Ttulo2"/>
        <w:spacing w:line="360" w:lineRule="auto"/>
        <w:jc w:val="both"/>
        <w:rPr>
          <w:rFonts w:ascii="Times New Roman" w:hAnsi="Times New Roman" w:cs="Times New Roman"/>
          <w:sz w:val="24"/>
          <w:szCs w:val="24"/>
        </w:rPr>
      </w:pPr>
      <w:r w:rsidRPr="000F0FEE">
        <w:rPr>
          <w:rFonts w:ascii="Times New Roman" w:hAnsi="Times New Roman" w:cs="Times New Roman"/>
          <w:color w:val="auto"/>
          <w:sz w:val="24"/>
          <w:szCs w:val="24"/>
        </w:rPr>
        <w:t>La hipótesis del presente trabajo de investigación se diseña como una relación causal y se enuncia de la siguiente forma</w:t>
      </w:r>
      <w:r w:rsidRPr="000F0FEE">
        <w:rPr>
          <w:rFonts w:ascii="Times New Roman" w:hAnsi="Times New Roman" w:cs="Times New Roman"/>
          <w:sz w:val="24"/>
          <w:szCs w:val="24"/>
        </w:rPr>
        <w:t>:</w:t>
      </w:r>
    </w:p>
    <w:p w14:paraId="1AD96095" w14:textId="77777777" w:rsidR="002E75C2" w:rsidRPr="000F0FEE" w:rsidRDefault="002E75C2" w:rsidP="002E75C2">
      <w:pPr>
        <w:rPr>
          <w:rFonts w:ascii="Times New Roman" w:hAnsi="Times New Roman" w:cs="Times New Roman"/>
          <w:sz w:val="24"/>
          <w:szCs w:val="24"/>
        </w:rPr>
      </w:pPr>
    </w:p>
    <w:p w14:paraId="7FAD28C8" w14:textId="5D90E10B" w:rsidR="00845757" w:rsidRPr="000F0FEE" w:rsidRDefault="001278B6" w:rsidP="00845757">
      <w:pPr>
        <w:pStyle w:val="Textoindependiente"/>
        <w:spacing w:line="360" w:lineRule="auto"/>
        <w:jc w:val="both"/>
        <w:rPr>
          <w:rFonts w:ascii="Times New Roman" w:hAnsi="Times New Roman" w:cs="Times New Roman"/>
          <w:sz w:val="24"/>
          <w:szCs w:val="24"/>
        </w:rPr>
      </w:pPr>
      <w:r w:rsidRPr="000F0FEE">
        <w:rPr>
          <w:rFonts w:ascii="Times New Roman" w:hAnsi="Times New Roman" w:cs="Times New Roman"/>
          <w:b/>
          <w:bCs/>
          <w:sz w:val="24"/>
          <w:szCs w:val="24"/>
        </w:rPr>
        <w:t>3.</w:t>
      </w:r>
      <w:r w:rsidR="00EB6DD9" w:rsidRPr="000F0FEE">
        <w:rPr>
          <w:rFonts w:ascii="Times New Roman" w:hAnsi="Times New Roman" w:cs="Times New Roman"/>
          <w:b/>
          <w:bCs/>
          <w:sz w:val="24"/>
          <w:szCs w:val="24"/>
        </w:rPr>
        <w:t>2</w:t>
      </w:r>
      <w:r w:rsidRPr="000F0FEE">
        <w:rPr>
          <w:rFonts w:ascii="Times New Roman" w:hAnsi="Times New Roman" w:cs="Times New Roman"/>
          <w:b/>
          <w:bCs/>
          <w:sz w:val="24"/>
          <w:szCs w:val="24"/>
        </w:rPr>
        <w:t xml:space="preserve">.1. </w:t>
      </w:r>
      <w:r w:rsidRPr="000F0FEE">
        <w:rPr>
          <w:rFonts w:ascii="Times New Roman" w:hAnsi="Times New Roman" w:cs="Times New Roman"/>
          <w:b/>
          <w:bCs/>
          <w:i/>
          <w:iCs/>
          <w:sz w:val="24"/>
          <w:szCs w:val="24"/>
        </w:rPr>
        <w:t>H</w:t>
      </w:r>
      <w:r w:rsidR="002E75C2" w:rsidRPr="000F0FEE">
        <w:rPr>
          <w:rFonts w:ascii="Times New Roman" w:hAnsi="Times New Roman" w:cs="Times New Roman"/>
          <w:b/>
          <w:bCs/>
          <w:i/>
          <w:sz w:val="24"/>
          <w:szCs w:val="24"/>
        </w:rPr>
        <w:t xml:space="preserve">ipótesis alterna (Ha): </w:t>
      </w:r>
      <w:r w:rsidR="002E75C2" w:rsidRPr="000F0FEE">
        <w:rPr>
          <w:rFonts w:ascii="Times New Roman" w:hAnsi="Times New Roman" w:cs="Times New Roman"/>
          <w:iCs/>
          <w:sz w:val="24"/>
          <w:szCs w:val="24"/>
        </w:rPr>
        <w:t>existe relación</w:t>
      </w:r>
      <w:r w:rsidR="002E75C2" w:rsidRPr="000F0FEE">
        <w:rPr>
          <w:rFonts w:ascii="Times New Roman" w:hAnsi="Times New Roman" w:cs="Times New Roman"/>
          <w:sz w:val="24"/>
          <w:szCs w:val="24"/>
        </w:rPr>
        <w:t xml:space="preserve"> entre</w:t>
      </w:r>
      <w:r w:rsidR="00845757" w:rsidRPr="000F0FEE">
        <w:rPr>
          <w:rFonts w:ascii="Times New Roman" w:hAnsi="Times New Roman" w:cs="Times New Roman"/>
          <w:sz w:val="24"/>
          <w:szCs w:val="24"/>
          <w:lang w:eastAsia="es-CO"/>
        </w:rPr>
        <w:t xml:space="preserve"> que e</w:t>
      </w:r>
      <w:r w:rsidR="00845757" w:rsidRPr="000F0FEE">
        <w:rPr>
          <w:rFonts w:ascii="Times New Roman" w:hAnsi="Times New Roman" w:cs="Times New Roman"/>
          <w:iCs/>
          <w:sz w:val="24"/>
          <w:szCs w:val="24"/>
        </w:rPr>
        <w:t>xiste relación</w:t>
      </w:r>
      <w:r w:rsidR="00845757" w:rsidRPr="000F0FEE">
        <w:rPr>
          <w:rFonts w:ascii="Times New Roman" w:hAnsi="Times New Roman" w:cs="Times New Roman"/>
          <w:sz w:val="24"/>
          <w:szCs w:val="24"/>
        </w:rPr>
        <w:t xml:space="preserve"> entre la incidencia por COVID-19 en Colombia</w:t>
      </w:r>
      <w:r w:rsidR="00845757" w:rsidRPr="000F0FEE">
        <w:rPr>
          <w:rFonts w:ascii="Times New Roman" w:hAnsi="Times New Roman" w:cs="Times New Roman"/>
          <w:sz w:val="24"/>
          <w:szCs w:val="24"/>
          <w:lang w:eastAsia="es-CO"/>
        </w:rPr>
        <w:t xml:space="preserve">, y el precio del petróleo Brent durante el período comprendido entre </w:t>
      </w:r>
      <w:r w:rsidR="00845757" w:rsidRPr="000F0FEE">
        <w:rPr>
          <w:rFonts w:ascii="Times New Roman" w:hAnsi="Times New Roman" w:cs="Times New Roman"/>
          <w:sz w:val="24"/>
          <w:szCs w:val="24"/>
        </w:rPr>
        <w:t>marzo de 2020 a diciembre de 2021.</w:t>
      </w:r>
    </w:p>
    <w:p w14:paraId="205AEAAE" w14:textId="6325A408" w:rsidR="002E75C2" w:rsidRPr="000F0FEE" w:rsidRDefault="001278B6" w:rsidP="002E75C2">
      <w:pPr>
        <w:pStyle w:val="Textoindependiente"/>
        <w:spacing w:line="360" w:lineRule="auto"/>
        <w:jc w:val="both"/>
        <w:rPr>
          <w:rFonts w:ascii="Times New Roman" w:hAnsi="Times New Roman" w:cs="Times New Roman"/>
          <w:sz w:val="24"/>
          <w:szCs w:val="24"/>
        </w:rPr>
      </w:pPr>
      <w:r w:rsidRPr="000F0FEE">
        <w:rPr>
          <w:rFonts w:ascii="Times New Roman" w:hAnsi="Times New Roman" w:cs="Times New Roman"/>
          <w:b/>
          <w:bCs/>
          <w:sz w:val="24"/>
          <w:szCs w:val="24"/>
        </w:rPr>
        <w:t>3.</w:t>
      </w:r>
      <w:r w:rsidR="00EB6DD9" w:rsidRPr="000F0FEE">
        <w:rPr>
          <w:rFonts w:ascii="Times New Roman" w:hAnsi="Times New Roman" w:cs="Times New Roman"/>
          <w:b/>
          <w:bCs/>
          <w:sz w:val="24"/>
          <w:szCs w:val="24"/>
        </w:rPr>
        <w:t>2</w:t>
      </w:r>
      <w:r w:rsidRPr="000F0FEE">
        <w:rPr>
          <w:rFonts w:ascii="Times New Roman" w:hAnsi="Times New Roman" w:cs="Times New Roman"/>
          <w:b/>
          <w:bCs/>
          <w:sz w:val="24"/>
          <w:szCs w:val="24"/>
        </w:rPr>
        <w:t xml:space="preserve">.2. </w:t>
      </w:r>
      <w:r w:rsidR="002E75C2" w:rsidRPr="000F0FEE">
        <w:rPr>
          <w:rFonts w:ascii="Times New Roman" w:hAnsi="Times New Roman" w:cs="Times New Roman"/>
          <w:sz w:val="24"/>
          <w:szCs w:val="24"/>
        </w:rPr>
        <w:t xml:space="preserve"> </w:t>
      </w:r>
      <w:r w:rsidRPr="000F0FEE">
        <w:rPr>
          <w:rFonts w:ascii="Times New Roman" w:hAnsi="Times New Roman" w:cs="Times New Roman"/>
          <w:b/>
          <w:bCs/>
          <w:i/>
          <w:iCs/>
          <w:sz w:val="24"/>
          <w:szCs w:val="24"/>
        </w:rPr>
        <w:t>H</w:t>
      </w:r>
      <w:r w:rsidR="002E75C2" w:rsidRPr="000F0FEE">
        <w:rPr>
          <w:rFonts w:ascii="Times New Roman" w:hAnsi="Times New Roman" w:cs="Times New Roman"/>
          <w:b/>
          <w:bCs/>
          <w:i/>
          <w:sz w:val="24"/>
          <w:szCs w:val="24"/>
        </w:rPr>
        <w:t>ipótesis nula (Ho)</w:t>
      </w:r>
      <w:r w:rsidR="002E75C2" w:rsidRPr="000F0FEE">
        <w:rPr>
          <w:rFonts w:ascii="Times New Roman" w:hAnsi="Times New Roman" w:cs="Times New Roman"/>
          <w:i/>
          <w:sz w:val="24"/>
          <w:szCs w:val="24"/>
        </w:rPr>
        <w:t>:</w:t>
      </w:r>
      <w:r w:rsidR="002E75C2" w:rsidRPr="000F0FEE">
        <w:rPr>
          <w:rFonts w:ascii="Times New Roman" w:hAnsi="Times New Roman" w:cs="Times New Roman"/>
          <w:sz w:val="24"/>
          <w:szCs w:val="24"/>
        </w:rPr>
        <w:t xml:space="preserve"> no </w:t>
      </w:r>
      <w:r w:rsidR="00845757" w:rsidRPr="000F0FEE">
        <w:rPr>
          <w:rFonts w:ascii="Times New Roman" w:hAnsi="Times New Roman" w:cs="Times New Roman"/>
          <w:iCs/>
          <w:sz w:val="24"/>
          <w:szCs w:val="24"/>
        </w:rPr>
        <w:t>existe relación</w:t>
      </w:r>
      <w:r w:rsidR="00845757" w:rsidRPr="000F0FEE">
        <w:rPr>
          <w:rFonts w:ascii="Times New Roman" w:hAnsi="Times New Roman" w:cs="Times New Roman"/>
          <w:sz w:val="24"/>
          <w:szCs w:val="24"/>
        </w:rPr>
        <w:t xml:space="preserve"> entre</w:t>
      </w:r>
      <w:r w:rsidR="00845757" w:rsidRPr="000F0FEE">
        <w:rPr>
          <w:rFonts w:ascii="Times New Roman" w:hAnsi="Times New Roman" w:cs="Times New Roman"/>
          <w:sz w:val="24"/>
          <w:szCs w:val="24"/>
          <w:lang w:eastAsia="es-CO"/>
        </w:rPr>
        <w:t xml:space="preserve"> que e</w:t>
      </w:r>
      <w:r w:rsidR="00845757" w:rsidRPr="000F0FEE">
        <w:rPr>
          <w:rFonts w:ascii="Times New Roman" w:hAnsi="Times New Roman" w:cs="Times New Roman"/>
          <w:iCs/>
          <w:sz w:val="24"/>
          <w:szCs w:val="24"/>
        </w:rPr>
        <w:t>xiste relación</w:t>
      </w:r>
      <w:r w:rsidR="00845757" w:rsidRPr="000F0FEE">
        <w:rPr>
          <w:rFonts w:ascii="Times New Roman" w:hAnsi="Times New Roman" w:cs="Times New Roman"/>
          <w:sz w:val="24"/>
          <w:szCs w:val="24"/>
        </w:rPr>
        <w:t xml:space="preserve"> entre la incidencia por COVID-19 en Colombia</w:t>
      </w:r>
      <w:r w:rsidR="00845757" w:rsidRPr="000F0FEE">
        <w:rPr>
          <w:rFonts w:ascii="Times New Roman" w:hAnsi="Times New Roman" w:cs="Times New Roman"/>
          <w:sz w:val="24"/>
          <w:szCs w:val="24"/>
          <w:lang w:eastAsia="es-CO"/>
        </w:rPr>
        <w:t xml:space="preserve">, y el precio del petróleo Brent durante el período comprendido entre </w:t>
      </w:r>
      <w:r w:rsidR="00845757" w:rsidRPr="000F0FEE">
        <w:rPr>
          <w:rFonts w:ascii="Times New Roman" w:hAnsi="Times New Roman" w:cs="Times New Roman"/>
          <w:sz w:val="24"/>
          <w:szCs w:val="24"/>
        </w:rPr>
        <w:t xml:space="preserve">marzo de 2020 a diciembre de 2021. </w:t>
      </w:r>
      <w:r w:rsidR="002E75C2" w:rsidRPr="000F0FEE">
        <w:rPr>
          <w:rFonts w:ascii="Times New Roman" w:hAnsi="Times New Roman" w:cs="Times New Roman"/>
          <w:sz w:val="24"/>
          <w:szCs w:val="24"/>
        </w:rPr>
        <w:t>Nivel de significancia: =</w:t>
      </w:r>
      <w:r w:rsidR="00995649" w:rsidRPr="000F0FEE">
        <w:rPr>
          <w:rFonts w:ascii="Times New Roman" w:hAnsi="Times New Roman" w:cs="Times New Roman"/>
          <w:sz w:val="24"/>
          <w:szCs w:val="24"/>
        </w:rPr>
        <w:t>5</w:t>
      </w:r>
      <w:r w:rsidR="00845757" w:rsidRPr="000F0FEE">
        <w:rPr>
          <w:rFonts w:ascii="Times New Roman" w:hAnsi="Times New Roman" w:cs="Times New Roman"/>
          <w:sz w:val="24"/>
          <w:szCs w:val="24"/>
        </w:rPr>
        <w:t>%</w:t>
      </w:r>
      <w:r w:rsidR="002E75C2" w:rsidRPr="000F0FEE">
        <w:rPr>
          <w:rFonts w:ascii="Times New Roman" w:hAnsi="Times New Roman" w:cs="Times New Roman"/>
          <w:sz w:val="24"/>
          <w:szCs w:val="24"/>
        </w:rPr>
        <w:t>= 0,</w:t>
      </w:r>
      <w:r w:rsidR="00995649" w:rsidRPr="000F0FEE">
        <w:rPr>
          <w:rFonts w:ascii="Times New Roman" w:hAnsi="Times New Roman" w:cs="Times New Roman"/>
          <w:sz w:val="24"/>
          <w:szCs w:val="24"/>
        </w:rPr>
        <w:t>05</w:t>
      </w:r>
      <w:r w:rsidR="002E75C2" w:rsidRPr="000F0FEE">
        <w:rPr>
          <w:rFonts w:ascii="Times New Roman" w:hAnsi="Times New Roman" w:cs="Times New Roman"/>
          <w:sz w:val="24"/>
          <w:szCs w:val="24"/>
        </w:rPr>
        <w:t xml:space="preserve">. </w:t>
      </w:r>
    </w:p>
    <w:p w14:paraId="5AE9D1AD" w14:textId="05DCC66D" w:rsidR="002E75C2" w:rsidRPr="000F0FEE" w:rsidRDefault="002E75C2" w:rsidP="002E75C2">
      <w:pPr>
        <w:pStyle w:val="Textoindependiente"/>
        <w:spacing w:line="360" w:lineRule="auto"/>
        <w:jc w:val="both"/>
        <w:rPr>
          <w:rFonts w:ascii="Times New Roman" w:hAnsi="Times New Roman" w:cs="Times New Roman"/>
          <w:sz w:val="24"/>
          <w:szCs w:val="24"/>
        </w:rPr>
      </w:pPr>
      <w:r w:rsidRPr="000F0FEE">
        <w:rPr>
          <w:rFonts w:ascii="Times New Roman" w:hAnsi="Times New Roman" w:cs="Times New Roman"/>
          <w:b/>
          <w:bCs/>
          <w:sz w:val="24"/>
          <w:szCs w:val="24"/>
        </w:rPr>
        <w:t xml:space="preserve">Toma de decisión: </w:t>
      </w:r>
      <w:r w:rsidRPr="000F0FEE">
        <w:rPr>
          <w:rFonts w:ascii="Times New Roman" w:hAnsi="Times New Roman" w:cs="Times New Roman"/>
          <w:sz w:val="24"/>
          <w:szCs w:val="24"/>
        </w:rPr>
        <w:t>sí el</w:t>
      </w:r>
      <w:r w:rsidRPr="000F0FEE">
        <w:rPr>
          <w:rFonts w:ascii="Times New Roman" w:hAnsi="Times New Roman" w:cs="Times New Roman"/>
          <w:b/>
          <w:bCs/>
          <w:sz w:val="24"/>
          <w:szCs w:val="24"/>
        </w:rPr>
        <w:t xml:space="preserve"> </w:t>
      </w:r>
      <w:r w:rsidRPr="000F0FEE">
        <w:rPr>
          <w:rFonts w:ascii="Times New Roman" w:hAnsi="Times New Roman" w:cs="Times New Roman"/>
          <w:b/>
          <w:bCs/>
          <w:i/>
          <w:sz w:val="24"/>
          <w:szCs w:val="24"/>
        </w:rPr>
        <w:t>p- valor</w:t>
      </w:r>
      <w:r w:rsidRPr="000F0FEE">
        <w:rPr>
          <w:rFonts w:ascii="Times New Roman" w:hAnsi="Times New Roman" w:cs="Times New Roman"/>
          <w:sz w:val="24"/>
          <w:szCs w:val="24"/>
        </w:rPr>
        <w:t xml:space="preserve"> ˂ α es aceptar Ha, entonces rechazamos la hipótesis nula y nos quedamos con la hipótesis del investigador (Ha).</w:t>
      </w:r>
    </w:p>
    <w:p w14:paraId="565605EC" w14:textId="152714B5" w:rsidR="002E75C2" w:rsidRPr="000F0FEE" w:rsidRDefault="008042D4" w:rsidP="002E75C2">
      <w:pPr>
        <w:pStyle w:val="Ttulo2"/>
        <w:spacing w:line="360" w:lineRule="auto"/>
        <w:jc w:val="both"/>
        <w:rPr>
          <w:rFonts w:ascii="Times New Roman" w:hAnsi="Times New Roman" w:cs="Times New Roman"/>
          <w:b/>
          <w:bCs/>
          <w:color w:val="auto"/>
          <w:sz w:val="24"/>
          <w:szCs w:val="24"/>
        </w:rPr>
      </w:pPr>
      <w:r w:rsidRPr="000F0FEE">
        <w:rPr>
          <w:rFonts w:ascii="Times New Roman" w:hAnsi="Times New Roman" w:cs="Times New Roman"/>
          <w:b/>
          <w:bCs/>
          <w:color w:val="auto"/>
          <w:sz w:val="24"/>
          <w:szCs w:val="24"/>
        </w:rPr>
        <w:t>4. RESULTADOS</w:t>
      </w:r>
    </w:p>
    <w:p w14:paraId="0B3B63E4" w14:textId="5859F34E" w:rsidR="007D2CDC" w:rsidRPr="000F0FEE" w:rsidRDefault="007D2CDC" w:rsidP="007D2CDC">
      <w:pPr>
        <w:spacing w:line="360" w:lineRule="auto"/>
        <w:jc w:val="both"/>
        <w:rPr>
          <w:rFonts w:ascii="Times New Roman" w:hAnsi="Times New Roman" w:cs="Times New Roman"/>
          <w:sz w:val="24"/>
          <w:szCs w:val="24"/>
        </w:rPr>
      </w:pPr>
      <w:bookmarkStart w:id="0" w:name="_Hlk92351185"/>
      <w:r w:rsidRPr="000F0FEE">
        <w:rPr>
          <w:rFonts w:ascii="Times New Roman" w:hAnsi="Times New Roman" w:cs="Times New Roman"/>
          <w:sz w:val="24"/>
          <w:szCs w:val="24"/>
        </w:rPr>
        <w:t>En la</w:t>
      </w:r>
      <w:r w:rsidRPr="000F0FEE">
        <w:rPr>
          <w:rFonts w:ascii="Times New Roman" w:hAnsi="Times New Roman" w:cs="Times New Roman"/>
          <w:b/>
          <w:bCs/>
          <w:sz w:val="24"/>
          <w:szCs w:val="24"/>
        </w:rPr>
        <w:t xml:space="preserve"> tabla 1 </w:t>
      </w:r>
      <w:r w:rsidRPr="000F0FEE">
        <w:rPr>
          <w:rFonts w:ascii="Times New Roman" w:hAnsi="Times New Roman" w:cs="Times New Roman"/>
          <w:sz w:val="24"/>
          <w:szCs w:val="24"/>
        </w:rPr>
        <w:t>se aprecia</w:t>
      </w:r>
      <w:r w:rsidRPr="000F0FEE">
        <w:rPr>
          <w:rFonts w:ascii="Times New Roman" w:hAnsi="Times New Roman" w:cs="Times New Roman"/>
          <w:b/>
          <w:bCs/>
          <w:sz w:val="24"/>
          <w:szCs w:val="24"/>
        </w:rPr>
        <w:t xml:space="preserve"> </w:t>
      </w:r>
      <w:r w:rsidR="000658EB" w:rsidRPr="000F0FEE">
        <w:rPr>
          <w:rFonts w:ascii="Times New Roman" w:hAnsi="Times New Roman" w:cs="Times New Roman"/>
          <w:sz w:val="24"/>
          <w:szCs w:val="24"/>
        </w:rPr>
        <w:t>la incidencia por COVID-19</w:t>
      </w:r>
      <w:r w:rsidR="00A34512" w:rsidRPr="000F0FEE">
        <w:rPr>
          <w:rFonts w:ascii="Times New Roman" w:hAnsi="Times New Roman" w:cs="Times New Roman"/>
          <w:sz w:val="24"/>
          <w:szCs w:val="24"/>
        </w:rPr>
        <w:t xml:space="preserve"> en Colombia</w:t>
      </w:r>
      <w:r w:rsidR="000658EB" w:rsidRPr="000F0FEE">
        <w:rPr>
          <w:rFonts w:ascii="Times New Roman" w:hAnsi="Times New Roman" w:cs="Times New Roman"/>
          <w:sz w:val="24"/>
          <w:szCs w:val="24"/>
        </w:rPr>
        <w:t xml:space="preserve">, y el precio </w:t>
      </w:r>
      <w:r w:rsidR="000E3A85" w:rsidRPr="000F0FEE">
        <w:rPr>
          <w:rFonts w:ascii="Times New Roman" w:hAnsi="Times New Roman" w:cs="Times New Roman"/>
          <w:sz w:val="24"/>
          <w:szCs w:val="24"/>
        </w:rPr>
        <w:t xml:space="preserve">promedio </w:t>
      </w:r>
      <w:r w:rsidR="000658EB" w:rsidRPr="000F0FEE">
        <w:rPr>
          <w:rFonts w:ascii="Times New Roman" w:hAnsi="Times New Roman" w:cs="Times New Roman"/>
          <w:sz w:val="24"/>
          <w:szCs w:val="24"/>
        </w:rPr>
        <w:t>del petróleo Brent</w:t>
      </w:r>
      <w:r w:rsidRPr="000F0FEE">
        <w:rPr>
          <w:rStyle w:val="Textoennegrita"/>
          <w:rFonts w:ascii="Times New Roman" w:hAnsi="Times New Roman" w:cs="Times New Roman"/>
          <w:b w:val="0"/>
          <w:bCs w:val="0"/>
          <w:sz w:val="24"/>
          <w:szCs w:val="24"/>
          <w:shd w:val="clear" w:color="auto" w:fill="FFFFFF"/>
        </w:rPr>
        <w:t xml:space="preserve">, </w:t>
      </w:r>
      <w:bookmarkEnd w:id="0"/>
      <w:r w:rsidRPr="000F0FEE">
        <w:rPr>
          <w:rStyle w:val="Textoennegrita"/>
          <w:rFonts w:ascii="Times New Roman" w:hAnsi="Times New Roman" w:cs="Times New Roman"/>
          <w:b w:val="0"/>
          <w:bCs w:val="0"/>
          <w:sz w:val="24"/>
          <w:szCs w:val="24"/>
          <w:shd w:val="clear" w:color="auto" w:fill="FFFFFF"/>
        </w:rPr>
        <w:t>entre</w:t>
      </w:r>
      <w:r w:rsidRPr="000F0FEE">
        <w:rPr>
          <w:rFonts w:ascii="Times New Roman" w:hAnsi="Times New Roman" w:cs="Times New Roman"/>
          <w:sz w:val="24"/>
          <w:szCs w:val="24"/>
        </w:rPr>
        <w:t xml:space="preserve"> el período comprendido </w:t>
      </w:r>
      <w:r w:rsidR="000658EB" w:rsidRPr="000F0FEE">
        <w:rPr>
          <w:rFonts w:ascii="Times New Roman" w:hAnsi="Times New Roman" w:cs="Times New Roman"/>
          <w:sz w:val="24"/>
          <w:szCs w:val="24"/>
        </w:rPr>
        <w:t>entre marzo de 2020 y diciembre de 2021</w:t>
      </w:r>
      <w:r w:rsidRPr="000F0FEE">
        <w:rPr>
          <w:rFonts w:ascii="Times New Roman" w:hAnsi="Times New Roman" w:cs="Times New Roman"/>
          <w:sz w:val="24"/>
          <w:szCs w:val="24"/>
        </w:rPr>
        <w:t xml:space="preserve">. </w:t>
      </w:r>
    </w:p>
    <w:p w14:paraId="44FB1CF3" w14:textId="1E3C6601" w:rsidR="00013E45" w:rsidRPr="000F0FEE" w:rsidRDefault="00013E45" w:rsidP="00A34512">
      <w:pPr>
        <w:spacing w:line="360" w:lineRule="auto"/>
        <w:jc w:val="center"/>
        <w:rPr>
          <w:rFonts w:ascii="Times New Roman" w:hAnsi="Times New Roman" w:cs="Times New Roman"/>
          <w:sz w:val="24"/>
          <w:szCs w:val="24"/>
        </w:rPr>
      </w:pPr>
      <w:r w:rsidRPr="000F0FEE">
        <w:rPr>
          <w:rFonts w:ascii="Times New Roman" w:hAnsi="Times New Roman" w:cs="Times New Roman"/>
          <w:b/>
          <w:bCs/>
          <w:sz w:val="24"/>
          <w:szCs w:val="24"/>
        </w:rPr>
        <w:t xml:space="preserve">Tabla 1. </w:t>
      </w:r>
      <w:r w:rsidR="00A34512" w:rsidRPr="000F0FEE">
        <w:rPr>
          <w:rFonts w:ascii="Times New Roman" w:hAnsi="Times New Roman" w:cs="Times New Roman"/>
          <w:sz w:val="24"/>
          <w:szCs w:val="24"/>
        </w:rPr>
        <w:t>Incidencia por COVID-19, y el precio del petróleo Brent</w:t>
      </w:r>
      <w:r w:rsidR="00CA584D" w:rsidRPr="000F0FEE">
        <w:rPr>
          <w:rFonts w:ascii="Times New Roman" w:hAnsi="Times New Roman" w:cs="Times New Roman"/>
          <w:sz w:val="24"/>
          <w:szCs w:val="24"/>
        </w:rPr>
        <w:t xml:space="preserve">. </w:t>
      </w:r>
    </w:p>
    <w:tbl>
      <w:tblPr>
        <w:tblW w:w="5240" w:type="dxa"/>
        <w:jc w:val="center"/>
        <w:tblCellMar>
          <w:left w:w="70" w:type="dxa"/>
          <w:right w:w="70" w:type="dxa"/>
        </w:tblCellMar>
        <w:tblLook w:val="04A0" w:firstRow="1" w:lastRow="0" w:firstColumn="1" w:lastColumn="0" w:noHBand="0" w:noVBand="1"/>
      </w:tblPr>
      <w:tblGrid>
        <w:gridCol w:w="1234"/>
        <w:gridCol w:w="2320"/>
        <w:gridCol w:w="1720"/>
      </w:tblGrid>
      <w:tr w:rsidR="000658EB" w:rsidRPr="000F0FEE" w14:paraId="00E97ABA" w14:textId="77777777" w:rsidTr="000658EB">
        <w:trPr>
          <w:trHeight w:val="300"/>
          <w:jc w:val="center"/>
        </w:trPr>
        <w:tc>
          <w:tcPr>
            <w:tcW w:w="1200" w:type="dxa"/>
            <w:tcBorders>
              <w:top w:val="single" w:sz="4" w:space="0" w:color="4472C4"/>
              <w:left w:val="single" w:sz="4" w:space="0" w:color="4472C4"/>
              <w:bottom w:val="single" w:sz="8" w:space="0" w:color="4472C4"/>
              <w:right w:val="single" w:sz="4" w:space="0" w:color="4472C4"/>
            </w:tcBorders>
            <w:shd w:val="clear" w:color="auto" w:fill="auto"/>
            <w:noWrap/>
            <w:vAlign w:val="bottom"/>
            <w:hideMark/>
          </w:tcPr>
          <w:p w14:paraId="2E6C79BF" w14:textId="77777777" w:rsidR="000658EB" w:rsidRPr="000F0FEE" w:rsidRDefault="000658EB" w:rsidP="000658EB">
            <w:pPr>
              <w:spacing w:after="0" w:line="240" w:lineRule="auto"/>
              <w:jc w:val="center"/>
              <w:rPr>
                <w:rFonts w:ascii="Times New Roman" w:eastAsia="Times New Roman" w:hAnsi="Times New Roman" w:cs="Times New Roman"/>
                <w:b/>
                <w:bCs/>
                <w:color w:val="000000"/>
                <w:sz w:val="24"/>
                <w:szCs w:val="24"/>
                <w:lang w:eastAsia="es-CO"/>
              </w:rPr>
            </w:pPr>
            <w:r w:rsidRPr="000F0FEE">
              <w:rPr>
                <w:rFonts w:ascii="Times New Roman" w:eastAsia="Times New Roman" w:hAnsi="Times New Roman" w:cs="Times New Roman"/>
                <w:b/>
                <w:bCs/>
                <w:color w:val="000000"/>
                <w:sz w:val="24"/>
                <w:szCs w:val="24"/>
                <w:lang w:eastAsia="es-CO"/>
              </w:rPr>
              <w:t>Meses</w:t>
            </w:r>
          </w:p>
        </w:tc>
        <w:tc>
          <w:tcPr>
            <w:tcW w:w="2320" w:type="dxa"/>
            <w:tcBorders>
              <w:top w:val="single" w:sz="4" w:space="0" w:color="4472C4"/>
              <w:left w:val="single" w:sz="4" w:space="0" w:color="4472C4"/>
              <w:bottom w:val="single" w:sz="8" w:space="0" w:color="4472C4"/>
              <w:right w:val="single" w:sz="4" w:space="0" w:color="4472C4"/>
            </w:tcBorders>
            <w:shd w:val="clear" w:color="auto" w:fill="auto"/>
            <w:noWrap/>
            <w:vAlign w:val="bottom"/>
            <w:hideMark/>
          </w:tcPr>
          <w:p w14:paraId="12876889" w14:textId="77777777" w:rsidR="000658EB" w:rsidRPr="000F0FEE" w:rsidRDefault="000658EB" w:rsidP="000658EB">
            <w:pPr>
              <w:spacing w:after="0" w:line="240" w:lineRule="auto"/>
              <w:jc w:val="center"/>
              <w:rPr>
                <w:rFonts w:ascii="Times New Roman" w:eastAsia="Times New Roman" w:hAnsi="Times New Roman" w:cs="Times New Roman"/>
                <w:b/>
                <w:bCs/>
                <w:color w:val="000000"/>
                <w:sz w:val="24"/>
                <w:szCs w:val="24"/>
                <w:lang w:eastAsia="es-CO"/>
              </w:rPr>
            </w:pPr>
            <w:r w:rsidRPr="000F0FEE">
              <w:rPr>
                <w:rFonts w:ascii="Times New Roman" w:eastAsia="Times New Roman" w:hAnsi="Times New Roman" w:cs="Times New Roman"/>
                <w:b/>
                <w:bCs/>
                <w:color w:val="000000"/>
                <w:sz w:val="24"/>
                <w:szCs w:val="24"/>
                <w:lang w:eastAsia="es-CO"/>
              </w:rPr>
              <w:t>Incidencia - COVID-19</w:t>
            </w:r>
          </w:p>
        </w:tc>
        <w:tc>
          <w:tcPr>
            <w:tcW w:w="1720" w:type="dxa"/>
            <w:tcBorders>
              <w:top w:val="single" w:sz="4" w:space="0" w:color="4472C4"/>
              <w:left w:val="single" w:sz="4" w:space="0" w:color="4472C4"/>
              <w:bottom w:val="single" w:sz="8" w:space="0" w:color="4472C4"/>
              <w:right w:val="single" w:sz="4" w:space="0" w:color="4472C4"/>
            </w:tcBorders>
            <w:shd w:val="clear" w:color="auto" w:fill="auto"/>
            <w:noWrap/>
            <w:vAlign w:val="bottom"/>
            <w:hideMark/>
          </w:tcPr>
          <w:p w14:paraId="6FC20291" w14:textId="77777777" w:rsidR="000658EB" w:rsidRPr="000F0FEE" w:rsidRDefault="000658EB" w:rsidP="000658EB">
            <w:pPr>
              <w:spacing w:after="0" w:line="240" w:lineRule="auto"/>
              <w:jc w:val="center"/>
              <w:rPr>
                <w:rFonts w:ascii="Times New Roman" w:eastAsia="Times New Roman" w:hAnsi="Times New Roman" w:cs="Times New Roman"/>
                <w:b/>
                <w:bCs/>
                <w:color w:val="000000"/>
                <w:sz w:val="24"/>
                <w:szCs w:val="24"/>
                <w:lang w:eastAsia="es-CO"/>
              </w:rPr>
            </w:pPr>
            <w:r w:rsidRPr="000F0FEE">
              <w:rPr>
                <w:rFonts w:ascii="Times New Roman" w:eastAsia="Times New Roman" w:hAnsi="Times New Roman" w:cs="Times New Roman"/>
                <w:b/>
                <w:bCs/>
                <w:color w:val="000000"/>
                <w:sz w:val="24"/>
                <w:szCs w:val="24"/>
                <w:lang w:eastAsia="es-CO"/>
              </w:rPr>
              <w:t>Petróleo-Brent</w:t>
            </w:r>
          </w:p>
        </w:tc>
      </w:tr>
      <w:tr w:rsidR="000658EB" w:rsidRPr="000F0FEE" w14:paraId="7B9A6C85" w14:textId="77777777" w:rsidTr="000658EB">
        <w:trPr>
          <w:trHeight w:val="300"/>
          <w:jc w:val="center"/>
        </w:trPr>
        <w:tc>
          <w:tcPr>
            <w:tcW w:w="120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815E367" w14:textId="77777777" w:rsidR="000658EB" w:rsidRPr="000F0FEE" w:rsidRDefault="000658EB" w:rsidP="000658EB">
            <w:pPr>
              <w:spacing w:after="0" w:line="240" w:lineRule="auto"/>
              <w:jc w:val="center"/>
              <w:rPr>
                <w:rFonts w:ascii="Times New Roman" w:eastAsia="Times New Roman" w:hAnsi="Times New Roman" w:cs="Times New Roman"/>
                <w:color w:val="000000"/>
                <w:sz w:val="24"/>
                <w:szCs w:val="24"/>
                <w:lang w:eastAsia="es-CO"/>
              </w:rPr>
            </w:pPr>
            <w:r w:rsidRPr="000F0FEE">
              <w:rPr>
                <w:rFonts w:ascii="Times New Roman" w:eastAsia="Times New Roman" w:hAnsi="Times New Roman" w:cs="Times New Roman"/>
                <w:color w:val="000000"/>
                <w:sz w:val="24"/>
                <w:szCs w:val="24"/>
                <w:lang w:eastAsia="es-CO"/>
              </w:rPr>
              <w:t>Marzo</w:t>
            </w:r>
          </w:p>
        </w:tc>
        <w:tc>
          <w:tcPr>
            <w:tcW w:w="2320" w:type="dxa"/>
            <w:tcBorders>
              <w:top w:val="single" w:sz="4" w:space="0" w:color="4472C4"/>
              <w:left w:val="single" w:sz="4" w:space="0" w:color="4472C4"/>
              <w:bottom w:val="single" w:sz="4" w:space="0" w:color="4472C4"/>
              <w:right w:val="single" w:sz="4" w:space="0" w:color="4472C4"/>
            </w:tcBorders>
            <w:shd w:val="clear" w:color="D9E1F2" w:fill="D9E1F2"/>
            <w:vAlign w:val="center"/>
            <w:hideMark/>
          </w:tcPr>
          <w:p w14:paraId="1AC191E1" w14:textId="77777777" w:rsidR="000658EB" w:rsidRPr="000F0FEE" w:rsidRDefault="000658EB" w:rsidP="000658EB">
            <w:pPr>
              <w:spacing w:after="0" w:line="240" w:lineRule="auto"/>
              <w:jc w:val="center"/>
              <w:rPr>
                <w:rFonts w:ascii="Times New Roman" w:eastAsia="Times New Roman" w:hAnsi="Times New Roman" w:cs="Times New Roman"/>
                <w:color w:val="000000"/>
                <w:sz w:val="24"/>
                <w:szCs w:val="24"/>
                <w:lang w:eastAsia="es-CO"/>
              </w:rPr>
            </w:pPr>
            <w:r w:rsidRPr="000F0FEE">
              <w:rPr>
                <w:rFonts w:ascii="Times New Roman" w:eastAsia="Times New Roman" w:hAnsi="Times New Roman" w:cs="Times New Roman"/>
                <w:color w:val="000000"/>
                <w:sz w:val="24"/>
                <w:szCs w:val="24"/>
                <w:lang w:eastAsia="es-CO"/>
              </w:rPr>
              <w:t>3,2</w:t>
            </w:r>
          </w:p>
        </w:tc>
        <w:tc>
          <w:tcPr>
            <w:tcW w:w="172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F063135" w14:textId="77777777" w:rsidR="000658EB" w:rsidRPr="000F0FEE" w:rsidRDefault="000658EB" w:rsidP="000658EB">
            <w:pPr>
              <w:spacing w:after="0" w:line="240" w:lineRule="auto"/>
              <w:jc w:val="center"/>
              <w:rPr>
                <w:rFonts w:ascii="Times New Roman" w:eastAsia="Times New Roman" w:hAnsi="Times New Roman" w:cs="Times New Roman"/>
                <w:color w:val="000000"/>
                <w:sz w:val="24"/>
                <w:szCs w:val="24"/>
                <w:lang w:eastAsia="es-CO"/>
              </w:rPr>
            </w:pPr>
            <w:r w:rsidRPr="000F0FEE">
              <w:rPr>
                <w:rFonts w:ascii="Times New Roman" w:eastAsia="Times New Roman" w:hAnsi="Times New Roman" w:cs="Times New Roman"/>
                <w:color w:val="000000"/>
                <w:sz w:val="24"/>
                <w:szCs w:val="24"/>
                <w:lang w:eastAsia="es-CO"/>
              </w:rPr>
              <w:t>29,84</w:t>
            </w:r>
          </w:p>
        </w:tc>
      </w:tr>
      <w:tr w:rsidR="000658EB" w:rsidRPr="000F0FEE" w14:paraId="22CF6C01" w14:textId="77777777" w:rsidTr="000658EB">
        <w:trPr>
          <w:trHeight w:val="315"/>
          <w:jc w:val="center"/>
        </w:trPr>
        <w:tc>
          <w:tcPr>
            <w:tcW w:w="120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E421D97" w14:textId="77777777" w:rsidR="000658EB" w:rsidRPr="000F0FEE" w:rsidRDefault="000658EB" w:rsidP="000658EB">
            <w:pPr>
              <w:spacing w:after="0" w:line="240" w:lineRule="auto"/>
              <w:jc w:val="center"/>
              <w:rPr>
                <w:rFonts w:ascii="Times New Roman" w:eastAsia="Times New Roman" w:hAnsi="Times New Roman" w:cs="Times New Roman"/>
                <w:color w:val="000000"/>
                <w:sz w:val="24"/>
                <w:szCs w:val="24"/>
                <w:lang w:eastAsia="es-CO"/>
              </w:rPr>
            </w:pPr>
            <w:r w:rsidRPr="000F0FEE">
              <w:rPr>
                <w:rFonts w:ascii="Times New Roman" w:eastAsia="Times New Roman" w:hAnsi="Times New Roman" w:cs="Times New Roman"/>
                <w:color w:val="000000"/>
                <w:sz w:val="24"/>
                <w:szCs w:val="24"/>
                <w:lang w:eastAsia="es-CO"/>
              </w:rPr>
              <w:t>Abril</w:t>
            </w:r>
          </w:p>
        </w:tc>
        <w:tc>
          <w:tcPr>
            <w:tcW w:w="2320" w:type="dxa"/>
            <w:tcBorders>
              <w:top w:val="single" w:sz="4" w:space="0" w:color="4472C4"/>
              <w:left w:val="single" w:sz="4" w:space="0" w:color="4472C4"/>
              <w:bottom w:val="single" w:sz="4" w:space="0" w:color="4472C4"/>
              <w:right w:val="single" w:sz="4" w:space="0" w:color="4472C4"/>
            </w:tcBorders>
            <w:shd w:val="clear" w:color="auto" w:fill="auto"/>
            <w:vAlign w:val="center"/>
            <w:hideMark/>
          </w:tcPr>
          <w:p w14:paraId="79762868" w14:textId="77777777" w:rsidR="000658EB" w:rsidRPr="000F0FEE" w:rsidRDefault="000658EB" w:rsidP="000658EB">
            <w:pPr>
              <w:spacing w:after="0" w:line="240" w:lineRule="auto"/>
              <w:jc w:val="center"/>
              <w:rPr>
                <w:rFonts w:ascii="Times New Roman" w:eastAsia="Times New Roman" w:hAnsi="Times New Roman" w:cs="Times New Roman"/>
                <w:color w:val="000000"/>
                <w:sz w:val="24"/>
                <w:szCs w:val="24"/>
                <w:lang w:eastAsia="es-CO"/>
              </w:rPr>
            </w:pPr>
            <w:r w:rsidRPr="000F0FEE">
              <w:rPr>
                <w:rFonts w:ascii="Times New Roman" w:eastAsia="Times New Roman" w:hAnsi="Times New Roman" w:cs="Times New Roman"/>
                <w:color w:val="000000"/>
                <w:sz w:val="24"/>
                <w:szCs w:val="24"/>
                <w:lang w:eastAsia="es-CO"/>
              </w:rPr>
              <w:t>4,71</w:t>
            </w:r>
          </w:p>
        </w:tc>
        <w:tc>
          <w:tcPr>
            <w:tcW w:w="172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4F9160B" w14:textId="77777777" w:rsidR="000658EB" w:rsidRPr="000F0FEE" w:rsidRDefault="000658EB" w:rsidP="000658EB">
            <w:pPr>
              <w:spacing w:after="0" w:line="240" w:lineRule="auto"/>
              <w:jc w:val="center"/>
              <w:rPr>
                <w:rFonts w:ascii="Times New Roman" w:eastAsia="Times New Roman" w:hAnsi="Times New Roman" w:cs="Times New Roman"/>
                <w:color w:val="000000"/>
                <w:sz w:val="24"/>
                <w:szCs w:val="24"/>
                <w:lang w:eastAsia="es-CO"/>
              </w:rPr>
            </w:pPr>
            <w:r w:rsidRPr="000F0FEE">
              <w:rPr>
                <w:rFonts w:ascii="Times New Roman" w:eastAsia="Times New Roman" w:hAnsi="Times New Roman" w:cs="Times New Roman"/>
                <w:color w:val="000000"/>
                <w:sz w:val="24"/>
                <w:szCs w:val="24"/>
                <w:lang w:eastAsia="es-CO"/>
              </w:rPr>
              <w:t>26,63</w:t>
            </w:r>
          </w:p>
        </w:tc>
      </w:tr>
      <w:tr w:rsidR="000658EB" w:rsidRPr="000F0FEE" w14:paraId="1392EA97" w14:textId="77777777" w:rsidTr="000658EB">
        <w:trPr>
          <w:trHeight w:val="315"/>
          <w:jc w:val="center"/>
        </w:trPr>
        <w:tc>
          <w:tcPr>
            <w:tcW w:w="120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A6F2B32" w14:textId="77777777" w:rsidR="000658EB" w:rsidRPr="000F0FEE" w:rsidRDefault="000658EB" w:rsidP="000658EB">
            <w:pPr>
              <w:spacing w:after="0" w:line="240" w:lineRule="auto"/>
              <w:jc w:val="center"/>
              <w:rPr>
                <w:rFonts w:ascii="Times New Roman" w:eastAsia="Times New Roman" w:hAnsi="Times New Roman" w:cs="Times New Roman"/>
                <w:color w:val="000000"/>
                <w:sz w:val="24"/>
                <w:szCs w:val="24"/>
                <w:lang w:eastAsia="es-CO"/>
              </w:rPr>
            </w:pPr>
            <w:r w:rsidRPr="000F0FEE">
              <w:rPr>
                <w:rFonts w:ascii="Times New Roman" w:eastAsia="Times New Roman" w:hAnsi="Times New Roman" w:cs="Times New Roman"/>
                <w:color w:val="000000"/>
                <w:sz w:val="24"/>
                <w:szCs w:val="24"/>
                <w:lang w:eastAsia="es-CO"/>
              </w:rPr>
              <w:t>Mayo</w:t>
            </w:r>
          </w:p>
        </w:tc>
        <w:tc>
          <w:tcPr>
            <w:tcW w:w="2320" w:type="dxa"/>
            <w:tcBorders>
              <w:top w:val="single" w:sz="4" w:space="0" w:color="4472C4"/>
              <w:left w:val="single" w:sz="4" w:space="0" w:color="4472C4"/>
              <w:bottom w:val="single" w:sz="4" w:space="0" w:color="4472C4"/>
              <w:right w:val="single" w:sz="4" w:space="0" w:color="4472C4"/>
            </w:tcBorders>
            <w:shd w:val="clear" w:color="D9E1F2" w:fill="D9E1F2"/>
            <w:vAlign w:val="center"/>
            <w:hideMark/>
          </w:tcPr>
          <w:p w14:paraId="65D8E5EB" w14:textId="77777777" w:rsidR="000658EB" w:rsidRPr="000F0FEE" w:rsidRDefault="000658EB" w:rsidP="000658EB">
            <w:pPr>
              <w:spacing w:after="0" w:line="240" w:lineRule="auto"/>
              <w:jc w:val="center"/>
              <w:rPr>
                <w:rFonts w:ascii="Times New Roman" w:eastAsia="Times New Roman" w:hAnsi="Times New Roman" w:cs="Times New Roman"/>
                <w:color w:val="000000"/>
                <w:sz w:val="24"/>
                <w:szCs w:val="24"/>
                <w:lang w:eastAsia="es-CO"/>
              </w:rPr>
            </w:pPr>
            <w:r w:rsidRPr="000F0FEE">
              <w:rPr>
                <w:rFonts w:ascii="Times New Roman" w:eastAsia="Times New Roman" w:hAnsi="Times New Roman" w:cs="Times New Roman"/>
                <w:color w:val="000000"/>
                <w:sz w:val="24"/>
                <w:szCs w:val="24"/>
                <w:lang w:eastAsia="es-CO"/>
              </w:rPr>
              <w:t>2,82</w:t>
            </w:r>
          </w:p>
        </w:tc>
        <w:tc>
          <w:tcPr>
            <w:tcW w:w="172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CF95085" w14:textId="77777777" w:rsidR="000658EB" w:rsidRPr="000F0FEE" w:rsidRDefault="000658EB" w:rsidP="000658EB">
            <w:pPr>
              <w:spacing w:after="0" w:line="240" w:lineRule="auto"/>
              <w:jc w:val="center"/>
              <w:rPr>
                <w:rFonts w:ascii="Times New Roman" w:eastAsia="Times New Roman" w:hAnsi="Times New Roman" w:cs="Times New Roman"/>
                <w:color w:val="000000"/>
                <w:sz w:val="24"/>
                <w:szCs w:val="24"/>
                <w:lang w:eastAsia="es-CO"/>
              </w:rPr>
            </w:pPr>
            <w:r w:rsidRPr="000F0FEE">
              <w:rPr>
                <w:rFonts w:ascii="Times New Roman" w:eastAsia="Times New Roman" w:hAnsi="Times New Roman" w:cs="Times New Roman"/>
                <w:color w:val="000000"/>
                <w:sz w:val="24"/>
                <w:szCs w:val="24"/>
                <w:lang w:eastAsia="es-CO"/>
              </w:rPr>
              <w:t>32,41</w:t>
            </w:r>
          </w:p>
        </w:tc>
      </w:tr>
      <w:tr w:rsidR="000658EB" w:rsidRPr="000F0FEE" w14:paraId="67BDD420" w14:textId="77777777" w:rsidTr="000658EB">
        <w:trPr>
          <w:trHeight w:val="315"/>
          <w:jc w:val="center"/>
        </w:trPr>
        <w:tc>
          <w:tcPr>
            <w:tcW w:w="120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63E6865" w14:textId="77777777" w:rsidR="000658EB" w:rsidRPr="000F0FEE" w:rsidRDefault="000658EB" w:rsidP="000658EB">
            <w:pPr>
              <w:spacing w:after="0" w:line="240" w:lineRule="auto"/>
              <w:jc w:val="center"/>
              <w:rPr>
                <w:rFonts w:ascii="Times New Roman" w:eastAsia="Times New Roman" w:hAnsi="Times New Roman" w:cs="Times New Roman"/>
                <w:color w:val="000000"/>
                <w:sz w:val="24"/>
                <w:szCs w:val="24"/>
                <w:lang w:eastAsia="es-CO"/>
              </w:rPr>
            </w:pPr>
            <w:r w:rsidRPr="000F0FEE">
              <w:rPr>
                <w:rFonts w:ascii="Times New Roman" w:eastAsia="Times New Roman" w:hAnsi="Times New Roman" w:cs="Times New Roman"/>
                <w:color w:val="000000"/>
                <w:sz w:val="24"/>
                <w:szCs w:val="24"/>
                <w:lang w:eastAsia="es-CO"/>
              </w:rPr>
              <w:t>Junio</w:t>
            </w:r>
          </w:p>
        </w:tc>
        <w:tc>
          <w:tcPr>
            <w:tcW w:w="2320" w:type="dxa"/>
            <w:tcBorders>
              <w:top w:val="single" w:sz="4" w:space="0" w:color="4472C4"/>
              <w:left w:val="single" w:sz="4" w:space="0" w:color="4472C4"/>
              <w:bottom w:val="single" w:sz="4" w:space="0" w:color="4472C4"/>
              <w:right w:val="single" w:sz="4" w:space="0" w:color="4472C4"/>
            </w:tcBorders>
            <w:shd w:val="clear" w:color="auto" w:fill="auto"/>
            <w:vAlign w:val="center"/>
            <w:hideMark/>
          </w:tcPr>
          <w:p w14:paraId="23378D63" w14:textId="77777777" w:rsidR="000658EB" w:rsidRPr="000F0FEE" w:rsidRDefault="000658EB" w:rsidP="000658EB">
            <w:pPr>
              <w:spacing w:after="0" w:line="240" w:lineRule="auto"/>
              <w:jc w:val="center"/>
              <w:rPr>
                <w:rFonts w:ascii="Times New Roman" w:eastAsia="Times New Roman" w:hAnsi="Times New Roman" w:cs="Times New Roman"/>
                <w:color w:val="000000"/>
                <w:sz w:val="24"/>
                <w:szCs w:val="24"/>
                <w:lang w:eastAsia="es-CO"/>
              </w:rPr>
            </w:pPr>
            <w:r w:rsidRPr="000F0FEE">
              <w:rPr>
                <w:rFonts w:ascii="Times New Roman" w:eastAsia="Times New Roman" w:hAnsi="Times New Roman" w:cs="Times New Roman"/>
                <w:color w:val="000000"/>
                <w:sz w:val="24"/>
                <w:szCs w:val="24"/>
                <w:lang w:eastAsia="es-CO"/>
              </w:rPr>
              <w:t>3,5</w:t>
            </w:r>
          </w:p>
        </w:tc>
        <w:tc>
          <w:tcPr>
            <w:tcW w:w="172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537C644" w14:textId="77777777" w:rsidR="000658EB" w:rsidRPr="000F0FEE" w:rsidRDefault="000658EB" w:rsidP="000658EB">
            <w:pPr>
              <w:spacing w:after="0" w:line="240" w:lineRule="auto"/>
              <w:jc w:val="center"/>
              <w:rPr>
                <w:rFonts w:ascii="Times New Roman" w:eastAsia="Times New Roman" w:hAnsi="Times New Roman" w:cs="Times New Roman"/>
                <w:color w:val="000000"/>
                <w:sz w:val="24"/>
                <w:szCs w:val="24"/>
                <w:lang w:eastAsia="es-CO"/>
              </w:rPr>
            </w:pPr>
            <w:r w:rsidRPr="000F0FEE">
              <w:rPr>
                <w:rFonts w:ascii="Times New Roman" w:eastAsia="Times New Roman" w:hAnsi="Times New Roman" w:cs="Times New Roman"/>
                <w:color w:val="000000"/>
                <w:sz w:val="24"/>
                <w:szCs w:val="24"/>
                <w:lang w:eastAsia="es-CO"/>
              </w:rPr>
              <w:t>40,77</w:t>
            </w:r>
          </w:p>
        </w:tc>
      </w:tr>
      <w:tr w:rsidR="000658EB" w:rsidRPr="000F0FEE" w14:paraId="0AF627B8" w14:textId="77777777" w:rsidTr="000658EB">
        <w:trPr>
          <w:trHeight w:val="315"/>
          <w:jc w:val="center"/>
        </w:trPr>
        <w:tc>
          <w:tcPr>
            <w:tcW w:w="120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87FBD04" w14:textId="77777777" w:rsidR="000658EB" w:rsidRPr="000F0FEE" w:rsidRDefault="000658EB" w:rsidP="000658EB">
            <w:pPr>
              <w:spacing w:after="0" w:line="240" w:lineRule="auto"/>
              <w:jc w:val="center"/>
              <w:rPr>
                <w:rFonts w:ascii="Times New Roman" w:eastAsia="Times New Roman" w:hAnsi="Times New Roman" w:cs="Times New Roman"/>
                <w:color w:val="000000"/>
                <w:sz w:val="24"/>
                <w:szCs w:val="24"/>
                <w:lang w:eastAsia="es-CO"/>
              </w:rPr>
            </w:pPr>
            <w:r w:rsidRPr="000F0FEE">
              <w:rPr>
                <w:rFonts w:ascii="Times New Roman" w:eastAsia="Times New Roman" w:hAnsi="Times New Roman" w:cs="Times New Roman"/>
                <w:color w:val="000000"/>
                <w:sz w:val="24"/>
                <w:szCs w:val="24"/>
                <w:lang w:eastAsia="es-CO"/>
              </w:rPr>
              <w:t>Julio</w:t>
            </w:r>
          </w:p>
        </w:tc>
        <w:tc>
          <w:tcPr>
            <w:tcW w:w="2320" w:type="dxa"/>
            <w:tcBorders>
              <w:top w:val="single" w:sz="4" w:space="0" w:color="4472C4"/>
              <w:left w:val="single" w:sz="4" w:space="0" w:color="4472C4"/>
              <w:bottom w:val="single" w:sz="4" w:space="0" w:color="4472C4"/>
              <w:right w:val="single" w:sz="4" w:space="0" w:color="4472C4"/>
            </w:tcBorders>
            <w:shd w:val="clear" w:color="D9E1F2" w:fill="D9E1F2"/>
            <w:vAlign w:val="center"/>
            <w:hideMark/>
          </w:tcPr>
          <w:p w14:paraId="57834A26" w14:textId="77777777" w:rsidR="000658EB" w:rsidRPr="000F0FEE" w:rsidRDefault="000658EB" w:rsidP="000658EB">
            <w:pPr>
              <w:spacing w:after="0" w:line="240" w:lineRule="auto"/>
              <w:jc w:val="center"/>
              <w:rPr>
                <w:rFonts w:ascii="Times New Roman" w:eastAsia="Times New Roman" w:hAnsi="Times New Roman" w:cs="Times New Roman"/>
                <w:color w:val="000000"/>
                <w:sz w:val="24"/>
                <w:szCs w:val="24"/>
                <w:lang w:eastAsia="es-CO"/>
              </w:rPr>
            </w:pPr>
            <w:r w:rsidRPr="000F0FEE">
              <w:rPr>
                <w:rFonts w:ascii="Times New Roman" w:eastAsia="Times New Roman" w:hAnsi="Times New Roman" w:cs="Times New Roman"/>
                <w:color w:val="000000"/>
                <w:sz w:val="24"/>
                <w:szCs w:val="24"/>
                <w:lang w:eastAsia="es-CO"/>
              </w:rPr>
              <w:t>3,43</w:t>
            </w:r>
          </w:p>
        </w:tc>
        <w:tc>
          <w:tcPr>
            <w:tcW w:w="172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2C06BD8" w14:textId="77777777" w:rsidR="000658EB" w:rsidRPr="000F0FEE" w:rsidRDefault="000658EB" w:rsidP="000658EB">
            <w:pPr>
              <w:spacing w:after="0" w:line="240" w:lineRule="auto"/>
              <w:jc w:val="center"/>
              <w:rPr>
                <w:rFonts w:ascii="Times New Roman" w:eastAsia="Times New Roman" w:hAnsi="Times New Roman" w:cs="Times New Roman"/>
                <w:color w:val="000000"/>
                <w:sz w:val="24"/>
                <w:szCs w:val="24"/>
                <w:lang w:eastAsia="es-CO"/>
              </w:rPr>
            </w:pPr>
            <w:r w:rsidRPr="000F0FEE">
              <w:rPr>
                <w:rFonts w:ascii="Times New Roman" w:eastAsia="Times New Roman" w:hAnsi="Times New Roman" w:cs="Times New Roman"/>
                <w:color w:val="000000"/>
                <w:sz w:val="24"/>
                <w:szCs w:val="24"/>
                <w:lang w:eastAsia="es-CO"/>
              </w:rPr>
              <w:t>43,22</w:t>
            </w:r>
          </w:p>
        </w:tc>
      </w:tr>
      <w:tr w:rsidR="000658EB" w:rsidRPr="000F0FEE" w14:paraId="3B965D01" w14:textId="77777777" w:rsidTr="000658EB">
        <w:trPr>
          <w:trHeight w:val="315"/>
          <w:jc w:val="center"/>
        </w:trPr>
        <w:tc>
          <w:tcPr>
            <w:tcW w:w="120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05E870D" w14:textId="77777777" w:rsidR="000658EB" w:rsidRPr="000F0FEE" w:rsidRDefault="000658EB" w:rsidP="000658EB">
            <w:pPr>
              <w:spacing w:after="0" w:line="240" w:lineRule="auto"/>
              <w:jc w:val="center"/>
              <w:rPr>
                <w:rFonts w:ascii="Times New Roman" w:eastAsia="Times New Roman" w:hAnsi="Times New Roman" w:cs="Times New Roman"/>
                <w:color w:val="000000"/>
                <w:sz w:val="24"/>
                <w:szCs w:val="24"/>
                <w:lang w:eastAsia="es-CO"/>
              </w:rPr>
            </w:pPr>
            <w:r w:rsidRPr="000F0FEE">
              <w:rPr>
                <w:rFonts w:ascii="Times New Roman" w:eastAsia="Times New Roman" w:hAnsi="Times New Roman" w:cs="Times New Roman"/>
                <w:color w:val="000000"/>
                <w:sz w:val="24"/>
                <w:szCs w:val="24"/>
                <w:lang w:eastAsia="es-CO"/>
              </w:rPr>
              <w:t>Agosto</w:t>
            </w:r>
          </w:p>
        </w:tc>
        <w:tc>
          <w:tcPr>
            <w:tcW w:w="2320" w:type="dxa"/>
            <w:tcBorders>
              <w:top w:val="single" w:sz="4" w:space="0" w:color="4472C4"/>
              <w:left w:val="single" w:sz="4" w:space="0" w:color="4472C4"/>
              <w:bottom w:val="single" w:sz="4" w:space="0" w:color="4472C4"/>
              <w:right w:val="single" w:sz="4" w:space="0" w:color="4472C4"/>
            </w:tcBorders>
            <w:shd w:val="clear" w:color="auto" w:fill="auto"/>
            <w:vAlign w:val="center"/>
            <w:hideMark/>
          </w:tcPr>
          <w:p w14:paraId="656FC2F4" w14:textId="77777777" w:rsidR="000658EB" w:rsidRPr="000F0FEE" w:rsidRDefault="000658EB" w:rsidP="000658EB">
            <w:pPr>
              <w:spacing w:after="0" w:line="240" w:lineRule="auto"/>
              <w:jc w:val="center"/>
              <w:rPr>
                <w:rFonts w:ascii="Times New Roman" w:eastAsia="Times New Roman" w:hAnsi="Times New Roman" w:cs="Times New Roman"/>
                <w:color w:val="000000"/>
                <w:sz w:val="24"/>
                <w:szCs w:val="24"/>
                <w:lang w:eastAsia="es-CO"/>
              </w:rPr>
            </w:pPr>
            <w:r w:rsidRPr="000F0FEE">
              <w:rPr>
                <w:rFonts w:ascii="Times New Roman" w:eastAsia="Times New Roman" w:hAnsi="Times New Roman" w:cs="Times New Roman"/>
                <w:color w:val="000000"/>
                <w:sz w:val="24"/>
                <w:szCs w:val="24"/>
                <w:lang w:eastAsia="es-CO"/>
              </w:rPr>
              <w:t>2,9</w:t>
            </w:r>
          </w:p>
        </w:tc>
        <w:tc>
          <w:tcPr>
            <w:tcW w:w="172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B97048D" w14:textId="77777777" w:rsidR="000658EB" w:rsidRPr="000F0FEE" w:rsidRDefault="000658EB" w:rsidP="000658EB">
            <w:pPr>
              <w:spacing w:after="0" w:line="240" w:lineRule="auto"/>
              <w:jc w:val="center"/>
              <w:rPr>
                <w:rFonts w:ascii="Times New Roman" w:eastAsia="Times New Roman" w:hAnsi="Times New Roman" w:cs="Times New Roman"/>
                <w:color w:val="000000"/>
                <w:sz w:val="24"/>
                <w:szCs w:val="24"/>
                <w:lang w:eastAsia="es-CO"/>
              </w:rPr>
            </w:pPr>
            <w:r w:rsidRPr="000F0FEE">
              <w:rPr>
                <w:rFonts w:ascii="Times New Roman" w:eastAsia="Times New Roman" w:hAnsi="Times New Roman" w:cs="Times New Roman"/>
                <w:color w:val="000000"/>
                <w:sz w:val="24"/>
                <w:szCs w:val="24"/>
                <w:lang w:eastAsia="es-CO"/>
              </w:rPr>
              <w:t>45,02</w:t>
            </w:r>
          </w:p>
        </w:tc>
      </w:tr>
      <w:tr w:rsidR="000658EB" w:rsidRPr="000F0FEE" w14:paraId="7969AAD4" w14:textId="77777777" w:rsidTr="000658EB">
        <w:trPr>
          <w:trHeight w:val="315"/>
          <w:jc w:val="center"/>
        </w:trPr>
        <w:tc>
          <w:tcPr>
            <w:tcW w:w="120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27AC9A8" w14:textId="77777777" w:rsidR="000658EB" w:rsidRPr="000F0FEE" w:rsidRDefault="000658EB" w:rsidP="000658EB">
            <w:pPr>
              <w:spacing w:after="0" w:line="240" w:lineRule="auto"/>
              <w:jc w:val="center"/>
              <w:rPr>
                <w:rFonts w:ascii="Times New Roman" w:eastAsia="Times New Roman" w:hAnsi="Times New Roman" w:cs="Times New Roman"/>
                <w:color w:val="000000"/>
                <w:sz w:val="24"/>
                <w:szCs w:val="24"/>
                <w:lang w:eastAsia="es-CO"/>
              </w:rPr>
            </w:pPr>
            <w:r w:rsidRPr="000F0FEE">
              <w:rPr>
                <w:rFonts w:ascii="Times New Roman" w:eastAsia="Times New Roman" w:hAnsi="Times New Roman" w:cs="Times New Roman"/>
                <w:color w:val="000000"/>
                <w:sz w:val="24"/>
                <w:szCs w:val="24"/>
                <w:lang w:eastAsia="es-CO"/>
              </w:rPr>
              <w:t>Septiembre</w:t>
            </w:r>
          </w:p>
        </w:tc>
        <w:tc>
          <w:tcPr>
            <w:tcW w:w="2320" w:type="dxa"/>
            <w:tcBorders>
              <w:top w:val="single" w:sz="4" w:space="0" w:color="4472C4"/>
              <w:left w:val="single" w:sz="4" w:space="0" w:color="4472C4"/>
              <w:bottom w:val="single" w:sz="4" w:space="0" w:color="4472C4"/>
              <w:right w:val="single" w:sz="4" w:space="0" w:color="4472C4"/>
            </w:tcBorders>
            <w:shd w:val="clear" w:color="D9E1F2" w:fill="D9E1F2"/>
            <w:vAlign w:val="center"/>
            <w:hideMark/>
          </w:tcPr>
          <w:p w14:paraId="0B96E0CA" w14:textId="77777777" w:rsidR="000658EB" w:rsidRPr="000F0FEE" w:rsidRDefault="000658EB" w:rsidP="000658EB">
            <w:pPr>
              <w:spacing w:after="0" w:line="240" w:lineRule="auto"/>
              <w:jc w:val="center"/>
              <w:rPr>
                <w:rFonts w:ascii="Times New Roman" w:eastAsia="Times New Roman" w:hAnsi="Times New Roman" w:cs="Times New Roman"/>
                <w:color w:val="000000"/>
                <w:sz w:val="24"/>
                <w:szCs w:val="24"/>
                <w:lang w:eastAsia="es-CO"/>
              </w:rPr>
            </w:pPr>
            <w:r w:rsidRPr="000F0FEE">
              <w:rPr>
                <w:rFonts w:ascii="Times New Roman" w:eastAsia="Times New Roman" w:hAnsi="Times New Roman" w:cs="Times New Roman"/>
                <w:color w:val="000000"/>
                <w:sz w:val="24"/>
                <w:szCs w:val="24"/>
                <w:lang w:eastAsia="es-CO"/>
              </w:rPr>
              <w:t>2,95</w:t>
            </w:r>
          </w:p>
        </w:tc>
        <w:tc>
          <w:tcPr>
            <w:tcW w:w="172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63A660C" w14:textId="77777777" w:rsidR="000658EB" w:rsidRPr="000F0FEE" w:rsidRDefault="000658EB" w:rsidP="000658EB">
            <w:pPr>
              <w:spacing w:after="0" w:line="240" w:lineRule="auto"/>
              <w:jc w:val="center"/>
              <w:rPr>
                <w:rFonts w:ascii="Times New Roman" w:eastAsia="Times New Roman" w:hAnsi="Times New Roman" w:cs="Times New Roman"/>
                <w:color w:val="000000"/>
                <w:sz w:val="24"/>
                <w:szCs w:val="24"/>
                <w:lang w:eastAsia="es-CO"/>
              </w:rPr>
            </w:pPr>
            <w:r w:rsidRPr="000F0FEE">
              <w:rPr>
                <w:rFonts w:ascii="Times New Roman" w:eastAsia="Times New Roman" w:hAnsi="Times New Roman" w:cs="Times New Roman"/>
                <w:color w:val="000000"/>
                <w:sz w:val="24"/>
                <w:szCs w:val="24"/>
                <w:lang w:eastAsia="es-CO"/>
              </w:rPr>
              <w:t>41,87</w:t>
            </w:r>
          </w:p>
        </w:tc>
      </w:tr>
      <w:tr w:rsidR="000658EB" w:rsidRPr="000F0FEE" w14:paraId="60BE3219" w14:textId="77777777" w:rsidTr="000658EB">
        <w:trPr>
          <w:trHeight w:val="315"/>
          <w:jc w:val="center"/>
        </w:trPr>
        <w:tc>
          <w:tcPr>
            <w:tcW w:w="120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5CB8A5D" w14:textId="77777777" w:rsidR="000658EB" w:rsidRPr="000F0FEE" w:rsidRDefault="000658EB" w:rsidP="000658EB">
            <w:pPr>
              <w:spacing w:after="0" w:line="240" w:lineRule="auto"/>
              <w:jc w:val="center"/>
              <w:rPr>
                <w:rFonts w:ascii="Times New Roman" w:eastAsia="Times New Roman" w:hAnsi="Times New Roman" w:cs="Times New Roman"/>
                <w:color w:val="000000"/>
                <w:sz w:val="24"/>
                <w:szCs w:val="24"/>
                <w:lang w:eastAsia="es-CO"/>
              </w:rPr>
            </w:pPr>
            <w:r w:rsidRPr="000F0FEE">
              <w:rPr>
                <w:rFonts w:ascii="Times New Roman" w:eastAsia="Times New Roman" w:hAnsi="Times New Roman" w:cs="Times New Roman"/>
                <w:color w:val="000000"/>
                <w:sz w:val="24"/>
                <w:szCs w:val="24"/>
                <w:lang w:eastAsia="es-CO"/>
              </w:rPr>
              <w:t>Octubre</w:t>
            </w:r>
          </w:p>
        </w:tc>
        <w:tc>
          <w:tcPr>
            <w:tcW w:w="2320" w:type="dxa"/>
            <w:tcBorders>
              <w:top w:val="single" w:sz="4" w:space="0" w:color="4472C4"/>
              <w:left w:val="single" w:sz="4" w:space="0" w:color="4472C4"/>
              <w:bottom w:val="single" w:sz="4" w:space="0" w:color="4472C4"/>
              <w:right w:val="single" w:sz="4" w:space="0" w:color="4472C4"/>
            </w:tcBorders>
            <w:shd w:val="clear" w:color="auto" w:fill="auto"/>
            <w:vAlign w:val="center"/>
            <w:hideMark/>
          </w:tcPr>
          <w:p w14:paraId="4C87FBA9" w14:textId="77777777" w:rsidR="000658EB" w:rsidRPr="000F0FEE" w:rsidRDefault="000658EB" w:rsidP="000658EB">
            <w:pPr>
              <w:spacing w:after="0" w:line="240" w:lineRule="auto"/>
              <w:jc w:val="center"/>
              <w:rPr>
                <w:rFonts w:ascii="Times New Roman" w:eastAsia="Times New Roman" w:hAnsi="Times New Roman" w:cs="Times New Roman"/>
                <w:color w:val="000000"/>
                <w:sz w:val="24"/>
                <w:szCs w:val="24"/>
                <w:lang w:eastAsia="es-CO"/>
              </w:rPr>
            </w:pPr>
            <w:r w:rsidRPr="000F0FEE">
              <w:rPr>
                <w:rFonts w:ascii="Times New Roman" w:eastAsia="Times New Roman" w:hAnsi="Times New Roman" w:cs="Times New Roman"/>
                <w:color w:val="000000"/>
                <w:sz w:val="24"/>
                <w:szCs w:val="24"/>
                <w:lang w:eastAsia="es-CO"/>
              </w:rPr>
              <w:t>2,17</w:t>
            </w:r>
          </w:p>
        </w:tc>
        <w:tc>
          <w:tcPr>
            <w:tcW w:w="172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7CE4F20" w14:textId="77777777" w:rsidR="000658EB" w:rsidRPr="000F0FEE" w:rsidRDefault="000658EB" w:rsidP="000658EB">
            <w:pPr>
              <w:spacing w:after="0" w:line="240" w:lineRule="auto"/>
              <w:jc w:val="center"/>
              <w:rPr>
                <w:rFonts w:ascii="Times New Roman" w:eastAsia="Times New Roman" w:hAnsi="Times New Roman" w:cs="Times New Roman"/>
                <w:color w:val="000000"/>
                <w:sz w:val="24"/>
                <w:szCs w:val="24"/>
                <w:lang w:eastAsia="es-CO"/>
              </w:rPr>
            </w:pPr>
            <w:r w:rsidRPr="000F0FEE">
              <w:rPr>
                <w:rFonts w:ascii="Times New Roman" w:eastAsia="Times New Roman" w:hAnsi="Times New Roman" w:cs="Times New Roman"/>
                <w:color w:val="000000"/>
                <w:sz w:val="24"/>
                <w:szCs w:val="24"/>
                <w:lang w:eastAsia="es-CO"/>
              </w:rPr>
              <w:t>41,52</w:t>
            </w:r>
          </w:p>
        </w:tc>
      </w:tr>
      <w:tr w:rsidR="000658EB" w:rsidRPr="000F0FEE" w14:paraId="62068BCB" w14:textId="77777777" w:rsidTr="000658EB">
        <w:trPr>
          <w:trHeight w:val="315"/>
          <w:jc w:val="center"/>
        </w:trPr>
        <w:tc>
          <w:tcPr>
            <w:tcW w:w="120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B94E11D" w14:textId="77777777" w:rsidR="000658EB" w:rsidRPr="000F0FEE" w:rsidRDefault="000658EB" w:rsidP="000658EB">
            <w:pPr>
              <w:spacing w:after="0" w:line="240" w:lineRule="auto"/>
              <w:jc w:val="center"/>
              <w:rPr>
                <w:rFonts w:ascii="Times New Roman" w:eastAsia="Times New Roman" w:hAnsi="Times New Roman" w:cs="Times New Roman"/>
                <w:color w:val="000000"/>
                <w:sz w:val="24"/>
                <w:szCs w:val="24"/>
                <w:lang w:eastAsia="es-CO"/>
              </w:rPr>
            </w:pPr>
            <w:r w:rsidRPr="000F0FEE">
              <w:rPr>
                <w:rFonts w:ascii="Times New Roman" w:eastAsia="Times New Roman" w:hAnsi="Times New Roman" w:cs="Times New Roman"/>
                <w:color w:val="000000"/>
                <w:sz w:val="24"/>
                <w:szCs w:val="24"/>
                <w:lang w:eastAsia="es-CO"/>
              </w:rPr>
              <w:t>Noviembre</w:t>
            </w:r>
          </w:p>
        </w:tc>
        <w:tc>
          <w:tcPr>
            <w:tcW w:w="2320" w:type="dxa"/>
            <w:tcBorders>
              <w:top w:val="single" w:sz="4" w:space="0" w:color="4472C4"/>
              <w:left w:val="single" w:sz="4" w:space="0" w:color="4472C4"/>
              <w:bottom w:val="single" w:sz="4" w:space="0" w:color="4472C4"/>
              <w:right w:val="single" w:sz="4" w:space="0" w:color="4472C4"/>
            </w:tcBorders>
            <w:shd w:val="clear" w:color="D9E1F2" w:fill="D9E1F2"/>
            <w:vAlign w:val="center"/>
            <w:hideMark/>
          </w:tcPr>
          <w:p w14:paraId="198D154A" w14:textId="77777777" w:rsidR="000658EB" w:rsidRPr="000F0FEE" w:rsidRDefault="000658EB" w:rsidP="000658EB">
            <w:pPr>
              <w:spacing w:after="0" w:line="240" w:lineRule="auto"/>
              <w:jc w:val="center"/>
              <w:rPr>
                <w:rFonts w:ascii="Times New Roman" w:eastAsia="Times New Roman" w:hAnsi="Times New Roman" w:cs="Times New Roman"/>
                <w:color w:val="000000"/>
                <w:sz w:val="24"/>
                <w:szCs w:val="24"/>
                <w:lang w:eastAsia="es-CO"/>
              </w:rPr>
            </w:pPr>
            <w:r w:rsidRPr="000F0FEE">
              <w:rPr>
                <w:rFonts w:ascii="Times New Roman" w:eastAsia="Times New Roman" w:hAnsi="Times New Roman" w:cs="Times New Roman"/>
                <w:color w:val="000000"/>
                <w:sz w:val="24"/>
                <w:szCs w:val="24"/>
                <w:lang w:eastAsia="es-CO"/>
              </w:rPr>
              <w:t>2,25</w:t>
            </w:r>
          </w:p>
        </w:tc>
        <w:tc>
          <w:tcPr>
            <w:tcW w:w="172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476862F" w14:textId="77777777" w:rsidR="000658EB" w:rsidRPr="000F0FEE" w:rsidRDefault="000658EB" w:rsidP="000658EB">
            <w:pPr>
              <w:spacing w:after="0" w:line="240" w:lineRule="auto"/>
              <w:jc w:val="center"/>
              <w:rPr>
                <w:rFonts w:ascii="Times New Roman" w:eastAsia="Times New Roman" w:hAnsi="Times New Roman" w:cs="Times New Roman"/>
                <w:color w:val="000000"/>
                <w:sz w:val="24"/>
                <w:szCs w:val="24"/>
                <w:lang w:eastAsia="es-CO"/>
              </w:rPr>
            </w:pPr>
            <w:r w:rsidRPr="000F0FEE">
              <w:rPr>
                <w:rFonts w:ascii="Times New Roman" w:eastAsia="Times New Roman" w:hAnsi="Times New Roman" w:cs="Times New Roman"/>
                <w:color w:val="000000"/>
                <w:sz w:val="24"/>
                <w:szCs w:val="24"/>
                <w:lang w:eastAsia="es-CO"/>
              </w:rPr>
              <w:t>43,98</w:t>
            </w:r>
          </w:p>
        </w:tc>
      </w:tr>
      <w:tr w:rsidR="000658EB" w:rsidRPr="000F0FEE" w14:paraId="195E79AF" w14:textId="77777777" w:rsidTr="000658EB">
        <w:trPr>
          <w:trHeight w:val="315"/>
          <w:jc w:val="center"/>
        </w:trPr>
        <w:tc>
          <w:tcPr>
            <w:tcW w:w="120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02DD8F8" w14:textId="77777777" w:rsidR="000658EB" w:rsidRPr="000F0FEE" w:rsidRDefault="000658EB" w:rsidP="000658EB">
            <w:pPr>
              <w:spacing w:after="0" w:line="240" w:lineRule="auto"/>
              <w:jc w:val="center"/>
              <w:rPr>
                <w:rFonts w:ascii="Times New Roman" w:eastAsia="Times New Roman" w:hAnsi="Times New Roman" w:cs="Times New Roman"/>
                <w:color w:val="000000"/>
                <w:sz w:val="24"/>
                <w:szCs w:val="24"/>
                <w:lang w:eastAsia="es-CO"/>
              </w:rPr>
            </w:pPr>
            <w:r w:rsidRPr="000F0FEE">
              <w:rPr>
                <w:rFonts w:ascii="Times New Roman" w:eastAsia="Times New Roman" w:hAnsi="Times New Roman" w:cs="Times New Roman"/>
                <w:color w:val="000000"/>
                <w:sz w:val="24"/>
                <w:szCs w:val="24"/>
                <w:lang w:eastAsia="es-CO"/>
              </w:rPr>
              <w:t>Diciembre</w:t>
            </w:r>
          </w:p>
        </w:tc>
        <w:tc>
          <w:tcPr>
            <w:tcW w:w="2320" w:type="dxa"/>
            <w:tcBorders>
              <w:top w:val="single" w:sz="4" w:space="0" w:color="4472C4"/>
              <w:left w:val="single" w:sz="4" w:space="0" w:color="4472C4"/>
              <w:bottom w:val="single" w:sz="4" w:space="0" w:color="4472C4"/>
              <w:right w:val="single" w:sz="4" w:space="0" w:color="4472C4"/>
            </w:tcBorders>
            <w:shd w:val="clear" w:color="auto" w:fill="auto"/>
            <w:vAlign w:val="center"/>
            <w:hideMark/>
          </w:tcPr>
          <w:p w14:paraId="69E95CFC" w14:textId="77777777" w:rsidR="000658EB" w:rsidRPr="000F0FEE" w:rsidRDefault="000658EB" w:rsidP="000658EB">
            <w:pPr>
              <w:spacing w:after="0" w:line="240" w:lineRule="auto"/>
              <w:jc w:val="center"/>
              <w:rPr>
                <w:rFonts w:ascii="Times New Roman" w:eastAsia="Times New Roman" w:hAnsi="Times New Roman" w:cs="Times New Roman"/>
                <w:color w:val="000000"/>
                <w:sz w:val="24"/>
                <w:szCs w:val="24"/>
                <w:lang w:eastAsia="es-CO"/>
              </w:rPr>
            </w:pPr>
            <w:r w:rsidRPr="000F0FEE">
              <w:rPr>
                <w:rFonts w:ascii="Times New Roman" w:eastAsia="Times New Roman" w:hAnsi="Times New Roman" w:cs="Times New Roman"/>
                <w:color w:val="000000"/>
                <w:sz w:val="24"/>
                <w:szCs w:val="24"/>
                <w:lang w:eastAsia="es-CO"/>
              </w:rPr>
              <w:t>1,97</w:t>
            </w:r>
          </w:p>
        </w:tc>
        <w:tc>
          <w:tcPr>
            <w:tcW w:w="172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8A126E9" w14:textId="77777777" w:rsidR="000658EB" w:rsidRPr="000F0FEE" w:rsidRDefault="000658EB" w:rsidP="000658EB">
            <w:pPr>
              <w:spacing w:after="0" w:line="240" w:lineRule="auto"/>
              <w:jc w:val="center"/>
              <w:rPr>
                <w:rFonts w:ascii="Times New Roman" w:eastAsia="Times New Roman" w:hAnsi="Times New Roman" w:cs="Times New Roman"/>
                <w:color w:val="000000"/>
                <w:sz w:val="24"/>
                <w:szCs w:val="24"/>
                <w:lang w:eastAsia="es-CO"/>
              </w:rPr>
            </w:pPr>
            <w:r w:rsidRPr="000F0FEE">
              <w:rPr>
                <w:rFonts w:ascii="Times New Roman" w:eastAsia="Times New Roman" w:hAnsi="Times New Roman" w:cs="Times New Roman"/>
                <w:color w:val="000000"/>
                <w:sz w:val="24"/>
                <w:szCs w:val="24"/>
                <w:lang w:eastAsia="es-CO"/>
              </w:rPr>
              <w:t>50,22</w:t>
            </w:r>
          </w:p>
        </w:tc>
      </w:tr>
      <w:tr w:rsidR="000658EB" w:rsidRPr="000F0FEE" w14:paraId="7F0352CB" w14:textId="77777777" w:rsidTr="000658EB">
        <w:trPr>
          <w:trHeight w:val="315"/>
          <w:jc w:val="center"/>
        </w:trPr>
        <w:tc>
          <w:tcPr>
            <w:tcW w:w="120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86EFB86" w14:textId="77777777" w:rsidR="000658EB" w:rsidRPr="000F0FEE" w:rsidRDefault="000658EB" w:rsidP="000658EB">
            <w:pPr>
              <w:spacing w:after="0" w:line="240" w:lineRule="auto"/>
              <w:jc w:val="center"/>
              <w:rPr>
                <w:rFonts w:ascii="Times New Roman" w:eastAsia="Times New Roman" w:hAnsi="Times New Roman" w:cs="Times New Roman"/>
                <w:color w:val="000000"/>
                <w:sz w:val="24"/>
                <w:szCs w:val="24"/>
                <w:lang w:eastAsia="es-CO"/>
              </w:rPr>
            </w:pPr>
            <w:r w:rsidRPr="000F0FEE">
              <w:rPr>
                <w:rFonts w:ascii="Times New Roman" w:eastAsia="Times New Roman" w:hAnsi="Times New Roman" w:cs="Times New Roman"/>
                <w:color w:val="000000"/>
                <w:sz w:val="24"/>
                <w:szCs w:val="24"/>
                <w:lang w:eastAsia="es-CO"/>
              </w:rPr>
              <w:t>Enero</w:t>
            </w:r>
          </w:p>
        </w:tc>
        <w:tc>
          <w:tcPr>
            <w:tcW w:w="2320" w:type="dxa"/>
            <w:tcBorders>
              <w:top w:val="single" w:sz="4" w:space="0" w:color="4472C4"/>
              <w:left w:val="single" w:sz="4" w:space="0" w:color="4472C4"/>
              <w:bottom w:val="single" w:sz="4" w:space="0" w:color="4472C4"/>
              <w:right w:val="single" w:sz="4" w:space="0" w:color="4472C4"/>
            </w:tcBorders>
            <w:shd w:val="clear" w:color="D9E1F2" w:fill="D9E1F2"/>
            <w:vAlign w:val="center"/>
            <w:hideMark/>
          </w:tcPr>
          <w:p w14:paraId="34B4326D" w14:textId="77777777" w:rsidR="000658EB" w:rsidRPr="000F0FEE" w:rsidRDefault="000658EB" w:rsidP="000658EB">
            <w:pPr>
              <w:spacing w:after="0" w:line="240" w:lineRule="auto"/>
              <w:jc w:val="center"/>
              <w:rPr>
                <w:rFonts w:ascii="Times New Roman" w:eastAsia="Times New Roman" w:hAnsi="Times New Roman" w:cs="Times New Roman"/>
                <w:color w:val="000000"/>
                <w:sz w:val="24"/>
                <w:szCs w:val="24"/>
                <w:lang w:eastAsia="es-CO"/>
              </w:rPr>
            </w:pPr>
            <w:r w:rsidRPr="000F0FEE">
              <w:rPr>
                <w:rFonts w:ascii="Times New Roman" w:eastAsia="Times New Roman" w:hAnsi="Times New Roman" w:cs="Times New Roman"/>
                <w:color w:val="000000"/>
                <w:sz w:val="24"/>
                <w:szCs w:val="24"/>
                <w:lang w:eastAsia="es-CO"/>
              </w:rPr>
              <w:t>2,38</w:t>
            </w:r>
          </w:p>
        </w:tc>
        <w:tc>
          <w:tcPr>
            <w:tcW w:w="172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FFF44E7" w14:textId="77777777" w:rsidR="000658EB" w:rsidRPr="000F0FEE" w:rsidRDefault="000658EB" w:rsidP="000658EB">
            <w:pPr>
              <w:spacing w:after="0" w:line="240" w:lineRule="auto"/>
              <w:jc w:val="center"/>
              <w:rPr>
                <w:rFonts w:ascii="Times New Roman" w:eastAsia="Times New Roman" w:hAnsi="Times New Roman" w:cs="Times New Roman"/>
                <w:sz w:val="24"/>
                <w:szCs w:val="24"/>
                <w:lang w:eastAsia="es-CO"/>
              </w:rPr>
            </w:pPr>
            <w:r w:rsidRPr="000F0FEE">
              <w:rPr>
                <w:rFonts w:ascii="Times New Roman" w:eastAsia="Times New Roman" w:hAnsi="Times New Roman" w:cs="Times New Roman"/>
                <w:sz w:val="24"/>
                <w:szCs w:val="24"/>
                <w:lang w:eastAsia="es-CO"/>
              </w:rPr>
              <w:t>55,32</w:t>
            </w:r>
          </w:p>
        </w:tc>
      </w:tr>
      <w:tr w:rsidR="000658EB" w:rsidRPr="000F0FEE" w14:paraId="0D62CF39" w14:textId="77777777" w:rsidTr="000658EB">
        <w:trPr>
          <w:trHeight w:val="315"/>
          <w:jc w:val="center"/>
        </w:trPr>
        <w:tc>
          <w:tcPr>
            <w:tcW w:w="120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D8C1FC5" w14:textId="77777777" w:rsidR="000658EB" w:rsidRPr="000F0FEE" w:rsidRDefault="000658EB" w:rsidP="000658EB">
            <w:pPr>
              <w:spacing w:after="0" w:line="240" w:lineRule="auto"/>
              <w:jc w:val="center"/>
              <w:rPr>
                <w:rFonts w:ascii="Times New Roman" w:eastAsia="Times New Roman" w:hAnsi="Times New Roman" w:cs="Times New Roman"/>
                <w:color w:val="000000"/>
                <w:sz w:val="24"/>
                <w:szCs w:val="24"/>
                <w:lang w:eastAsia="es-CO"/>
              </w:rPr>
            </w:pPr>
            <w:r w:rsidRPr="000F0FEE">
              <w:rPr>
                <w:rFonts w:ascii="Times New Roman" w:eastAsia="Times New Roman" w:hAnsi="Times New Roman" w:cs="Times New Roman"/>
                <w:color w:val="000000"/>
                <w:sz w:val="24"/>
                <w:szCs w:val="24"/>
                <w:lang w:eastAsia="es-CO"/>
              </w:rPr>
              <w:t>Febrero</w:t>
            </w:r>
          </w:p>
        </w:tc>
        <w:tc>
          <w:tcPr>
            <w:tcW w:w="2320" w:type="dxa"/>
            <w:tcBorders>
              <w:top w:val="single" w:sz="4" w:space="0" w:color="4472C4"/>
              <w:left w:val="single" w:sz="4" w:space="0" w:color="4472C4"/>
              <w:bottom w:val="single" w:sz="4" w:space="0" w:color="4472C4"/>
              <w:right w:val="single" w:sz="4" w:space="0" w:color="4472C4"/>
            </w:tcBorders>
            <w:shd w:val="clear" w:color="auto" w:fill="auto"/>
            <w:vAlign w:val="center"/>
            <w:hideMark/>
          </w:tcPr>
          <w:p w14:paraId="43ABA34E" w14:textId="77777777" w:rsidR="000658EB" w:rsidRPr="000F0FEE" w:rsidRDefault="000658EB" w:rsidP="000658EB">
            <w:pPr>
              <w:spacing w:after="0" w:line="240" w:lineRule="auto"/>
              <w:jc w:val="center"/>
              <w:rPr>
                <w:rFonts w:ascii="Times New Roman" w:eastAsia="Times New Roman" w:hAnsi="Times New Roman" w:cs="Times New Roman"/>
                <w:color w:val="000000"/>
                <w:sz w:val="24"/>
                <w:szCs w:val="24"/>
                <w:lang w:eastAsia="es-CO"/>
              </w:rPr>
            </w:pPr>
            <w:r w:rsidRPr="000F0FEE">
              <w:rPr>
                <w:rFonts w:ascii="Times New Roman" w:eastAsia="Times New Roman" w:hAnsi="Times New Roman" w:cs="Times New Roman"/>
                <w:color w:val="000000"/>
                <w:sz w:val="24"/>
                <w:szCs w:val="24"/>
                <w:lang w:eastAsia="es-CO"/>
              </w:rPr>
              <w:t>3,69</w:t>
            </w:r>
          </w:p>
        </w:tc>
        <w:tc>
          <w:tcPr>
            <w:tcW w:w="1720" w:type="dxa"/>
            <w:tcBorders>
              <w:top w:val="single" w:sz="4" w:space="0" w:color="4472C4"/>
              <w:left w:val="single" w:sz="4" w:space="0" w:color="4472C4"/>
              <w:bottom w:val="single" w:sz="4" w:space="0" w:color="4472C4"/>
              <w:right w:val="single" w:sz="4" w:space="0" w:color="4472C4"/>
            </w:tcBorders>
            <w:shd w:val="clear" w:color="000000" w:fill="FFFFFF"/>
            <w:vAlign w:val="center"/>
            <w:hideMark/>
          </w:tcPr>
          <w:p w14:paraId="2AA4BFE7" w14:textId="77777777" w:rsidR="000658EB" w:rsidRPr="000F0FEE" w:rsidRDefault="000658EB" w:rsidP="000658EB">
            <w:pPr>
              <w:spacing w:after="0" w:line="240" w:lineRule="auto"/>
              <w:jc w:val="center"/>
              <w:rPr>
                <w:rFonts w:ascii="Times New Roman" w:eastAsia="Times New Roman" w:hAnsi="Times New Roman" w:cs="Times New Roman"/>
                <w:sz w:val="24"/>
                <w:szCs w:val="24"/>
                <w:lang w:eastAsia="es-CO"/>
              </w:rPr>
            </w:pPr>
            <w:r w:rsidRPr="000F0FEE">
              <w:rPr>
                <w:rFonts w:ascii="Times New Roman" w:eastAsia="Times New Roman" w:hAnsi="Times New Roman" w:cs="Times New Roman"/>
                <w:sz w:val="24"/>
                <w:szCs w:val="24"/>
                <w:lang w:eastAsia="es-CO"/>
              </w:rPr>
              <w:t>62,28</w:t>
            </w:r>
          </w:p>
        </w:tc>
      </w:tr>
      <w:tr w:rsidR="000658EB" w:rsidRPr="000F0FEE" w14:paraId="408B6668" w14:textId="77777777" w:rsidTr="000658EB">
        <w:trPr>
          <w:trHeight w:val="315"/>
          <w:jc w:val="center"/>
        </w:trPr>
        <w:tc>
          <w:tcPr>
            <w:tcW w:w="120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2B46A11" w14:textId="77777777" w:rsidR="000658EB" w:rsidRPr="000F0FEE" w:rsidRDefault="000658EB" w:rsidP="000658EB">
            <w:pPr>
              <w:spacing w:after="0" w:line="240" w:lineRule="auto"/>
              <w:jc w:val="center"/>
              <w:rPr>
                <w:rFonts w:ascii="Times New Roman" w:eastAsia="Times New Roman" w:hAnsi="Times New Roman" w:cs="Times New Roman"/>
                <w:color w:val="000000"/>
                <w:sz w:val="24"/>
                <w:szCs w:val="24"/>
                <w:lang w:eastAsia="es-CO"/>
              </w:rPr>
            </w:pPr>
            <w:r w:rsidRPr="000F0FEE">
              <w:rPr>
                <w:rFonts w:ascii="Times New Roman" w:eastAsia="Times New Roman" w:hAnsi="Times New Roman" w:cs="Times New Roman"/>
                <w:color w:val="000000"/>
                <w:sz w:val="24"/>
                <w:szCs w:val="24"/>
                <w:lang w:eastAsia="es-CO"/>
              </w:rPr>
              <w:t>Marzo</w:t>
            </w:r>
          </w:p>
        </w:tc>
        <w:tc>
          <w:tcPr>
            <w:tcW w:w="2320" w:type="dxa"/>
            <w:tcBorders>
              <w:top w:val="single" w:sz="4" w:space="0" w:color="4472C4"/>
              <w:left w:val="single" w:sz="4" w:space="0" w:color="4472C4"/>
              <w:bottom w:val="single" w:sz="4" w:space="0" w:color="4472C4"/>
              <w:right w:val="single" w:sz="4" w:space="0" w:color="4472C4"/>
            </w:tcBorders>
            <w:shd w:val="clear" w:color="D9E1F2" w:fill="D9E1F2"/>
            <w:vAlign w:val="center"/>
            <w:hideMark/>
          </w:tcPr>
          <w:p w14:paraId="7E55D607" w14:textId="77777777" w:rsidR="000658EB" w:rsidRPr="000F0FEE" w:rsidRDefault="000658EB" w:rsidP="000658EB">
            <w:pPr>
              <w:spacing w:after="0" w:line="240" w:lineRule="auto"/>
              <w:jc w:val="center"/>
              <w:rPr>
                <w:rFonts w:ascii="Times New Roman" w:eastAsia="Times New Roman" w:hAnsi="Times New Roman" w:cs="Times New Roman"/>
                <w:color w:val="000000"/>
                <w:sz w:val="24"/>
                <w:szCs w:val="24"/>
                <w:lang w:eastAsia="es-CO"/>
              </w:rPr>
            </w:pPr>
            <w:r w:rsidRPr="000F0FEE">
              <w:rPr>
                <w:rFonts w:ascii="Times New Roman" w:eastAsia="Times New Roman" w:hAnsi="Times New Roman" w:cs="Times New Roman"/>
                <w:color w:val="000000"/>
                <w:sz w:val="24"/>
                <w:szCs w:val="24"/>
                <w:lang w:eastAsia="es-CO"/>
              </w:rPr>
              <w:t>2,36</w:t>
            </w:r>
          </w:p>
        </w:tc>
        <w:tc>
          <w:tcPr>
            <w:tcW w:w="172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E00D22A" w14:textId="77777777" w:rsidR="000658EB" w:rsidRPr="000F0FEE" w:rsidRDefault="000658EB" w:rsidP="000658EB">
            <w:pPr>
              <w:spacing w:after="0" w:line="240" w:lineRule="auto"/>
              <w:jc w:val="center"/>
              <w:rPr>
                <w:rFonts w:ascii="Times New Roman" w:eastAsia="Times New Roman" w:hAnsi="Times New Roman" w:cs="Times New Roman"/>
                <w:sz w:val="24"/>
                <w:szCs w:val="24"/>
                <w:lang w:eastAsia="es-CO"/>
              </w:rPr>
            </w:pPr>
            <w:r w:rsidRPr="000F0FEE">
              <w:rPr>
                <w:rFonts w:ascii="Times New Roman" w:eastAsia="Times New Roman" w:hAnsi="Times New Roman" w:cs="Times New Roman"/>
                <w:sz w:val="24"/>
                <w:szCs w:val="24"/>
                <w:lang w:eastAsia="es-CO"/>
              </w:rPr>
              <w:t>65,70</w:t>
            </w:r>
          </w:p>
        </w:tc>
      </w:tr>
      <w:tr w:rsidR="000658EB" w:rsidRPr="000F0FEE" w14:paraId="329B7A4E" w14:textId="77777777" w:rsidTr="000658EB">
        <w:trPr>
          <w:trHeight w:val="300"/>
          <w:jc w:val="center"/>
        </w:trPr>
        <w:tc>
          <w:tcPr>
            <w:tcW w:w="120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EE472C2" w14:textId="77777777" w:rsidR="000658EB" w:rsidRPr="000F0FEE" w:rsidRDefault="000658EB" w:rsidP="000658EB">
            <w:pPr>
              <w:spacing w:after="0" w:line="240" w:lineRule="auto"/>
              <w:jc w:val="center"/>
              <w:rPr>
                <w:rFonts w:ascii="Times New Roman" w:eastAsia="Times New Roman" w:hAnsi="Times New Roman" w:cs="Times New Roman"/>
                <w:color w:val="000000"/>
                <w:sz w:val="24"/>
                <w:szCs w:val="24"/>
                <w:lang w:eastAsia="es-CO"/>
              </w:rPr>
            </w:pPr>
            <w:r w:rsidRPr="000F0FEE">
              <w:rPr>
                <w:rFonts w:ascii="Times New Roman" w:eastAsia="Times New Roman" w:hAnsi="Times New Roman" w:cs="Times New Roman"/>
                <w:color w:val="000000"/>
                <w:sz w:val="24"/>
                <w:szCs w:val="24"/>
                <w:lang w:eastAsia="es-CO"/>
              </w:rPr>
              <w:t>Abril</w:t>
            </w:r>
          </w:p>
        </w:tc>
        <w:tc>
          <w:tcPr>
            <w:tcW w:w="2320" w:type="dxa"/>
            <w:tcBorders>
              <w:top w:val="single" w:sz="4" w:space="0" w:color="4472C4"/>
              <w:left w:val="single" w:sz="4" w:space="0" w:color="4472C4"/>
              <w:bottom w:val="single" w:sz="4" w:space="0" w:color="4472C4"/>
              <w:right w:val="single" w:sz="4" w:space="0" w:color="4472C4"/>
            </w:tcBorders>
            <w:shd w:val="clear" w:color="auto" w:fill="auto"/>
            <w:vAlign w:val="center"/>
            <w:hideMark/>
          </w:tcPr>
          <w:p w14:paraId="5D13412F" w14:textId="77777777" w:rsidR="000658EB" w:rsidRPr="000F0FEE" w:rsidRDefault="000658EB" w:rsidP="000658EB">
            <w:pPr>
              <w:spacing w:after="0" w:line="240" w:lineRule="auto"/>
              <w:jc w:val="center"/>
              <w:rPr>
                <w:rFonts w:ascii="Times New Roman" w:eastAsia="Times New Roman" w:hAnsi="Times New Roman" w:cs="Times New Roman"/>
                <w:color w:val="000000"/>
                <w:sz w:val="24"/>
                <w:szCs w:val="24"/>
                <w:lang w:eastAsia="es-CO"/>
              </w:rPr>
            </w:pPr>
            <w:r w:rsidRPr="000F0FEE">
              <w:rPr>
                <w:rFonts w:ascii="Times New Roman" w:eastAsia="Times New Roman" w:hAnsi="Times New Roman" w:cs="Times New Roman"/>
                <w:color w:val="000000"/>
                <w:sz w:val="24"/>
                <w:szCs w:val="24"/>
                <w:lang w:eastAsia="es-CO"/>
              </w:rPr>
              <w:t>2,27</w:t>
            </w:r>
          </w:p>
        </w:tc>
        <w:tc>
          <w:tcPr>
            <w:tcW w:w="1720" w:type="dxa"/>
            <w:tcBorders>
              <w:top w:val="single" w:sz="4" w:space="0" w:color="4472C4"/>
              <w:left w:val="single" w:sz="4" w:space="0" w:color="4472C4"/>
              <w:bottom w:val="single" w:sz="4" w:space="0" w:color="4472C4"/>
              <w:right w:val="single" w:sz="4" w:space="0" w:color="4472C4"/>
            </w:tcBorders>
            <w:shd w:val="clear" w:color="000000" w:fill="FFFFFF"/>
            <w:vAlign w:val="center"/>
            <w:hideMark/>
          </w:tcPr>
          <w:p w14:paraId="46B89791" w14:textId="77777777" w:rsidR="000658EB" w:rsidRPr="000F0FEE" w:rsidRDefault="000658EB" w:rsidP="000658EB">
            <w:pPr>
              <w:spacing w:after="0" w:line="240" w:lineRule="auto"/>
              <w:jc w:val="center"/>
              <w:rPr>
                <w:rFonts w:ascii="Times New Roman" w:eastAsia="Times New Roman" w:hAnsi="Times New Roman" w:cs="Times New Roman"/>
                <w:sz w:val="24"/>
                <w:szCs w:val="24"/>
                <w:lang w:eastAsia="es-CO"/>
              </w:rPr>
            </w:pPr>
            <w:r w:rsidRPr="000F0FEE">
              <w:rPr>
                <w:rFonts w:ascii="Times New Roman" w:eastAsia="Times New Roman" w:hAnsi="Times New Roman" w:cs="Times New Roman"/>
                <w:sz w:val="24"/>
                <w:szCs w:val="24"/>
                <w:lang w:eastAsia="es-CO"/>
              </w:rPr>
              <w:t>65,33</w:t>
            </w:r>
          </w:p>
        </w:tc>
      </w:tr>
      <w:tr w:rsidR="000658EB" w:rsidRPr="000F0FEE" w14:paraId="48119A99" w14:textId="77777777" w:rsidTr="000658EB">
        <w:trPr>
          <w:trHeight w:val="300"/>
          <w:jc w:val="center"/>
        </w:trPr>
        <w:tc>
          <w:tcPr>
            <w:tcW w:w="120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1AFDA01" w14:textId="77777777" w:rsidR="000658EB" w:rsidRPr="000F0FEE" w:rsidRDefault="000658EB" w:rsidP="000658EB">
            <w:pPr>
              <w:spacing w:after="0" w:line="240" w:lineRule="auto"/>
              <w:jc w:val="center"/>
              <w:rPr>
                <w:rFonts w:ascii="Times New Roman" w:eastAsia="Times New Roman" w:hAnsi="Times New Roman" w:cs="Times New Roman"/>
                <w:color w:val="000000"/>
                <w:sz w:val="24"/>
                <w:szCs w:val="24"/>
                <w:lang w:eastAsia="es-CO"/>
              </w:rPr>
            </w:pPr>
            <w:r w:rsidRPr="000F0FEE">
              <w:rPr>
                <w:rFonts w:ascii="Times New Roman" w:eastAsia="Times New Roman" w:hAnsi="Times New Roman" w:cs="Times New Roman"/>
                <w:color w:val="000000"/>
                <w:sz w:val="24"/>
                <w:szCs w:val="24"/>
                <w:lang w:eastAsia="es-CO"/>
              </w:rPr>
              <w:t>Mayo</w:t>
            </w:r>
          </w:p>
        </w:tc>
        <w:tc>
          <w:tcPr>
            <w:tcW w:w="2320" w:type="dxa"/>
            <w:tcBorders>
              <w:top w:val="single" w:sz="4" w:space="0" w:color="4472C4"/>
              <w:left w:val="single" w:sz="4" w:space="0" w:color="4472C4"/>
              <w:bottom w:val="single" w:sz="4" w:space="0" w:color="4472C4"/>
              <w:right w:val="single" w:sz="4" w:space="0" w:color="4472C4"/>
            </w:tcBorders>
            <w:shd w:val="clear" w:color="D9E1F2" w:fill="D9E1F2"/>
            <w:vAlign w:val="center"/>
            <w:hideMark/>
          </w:tcPr>
          <w:p w14:paraId="224B1FC6" w14:textId="77777777" w:rsidR="000658EB" w:rsidRPr="000F0FEE" w:rsidRDefault="000658EB" w:rsidP="000658EB">
            <w:pPr>
              <w:spacing w:after="0" w:line="240" w:lineRule="auto"/>
              <w:jc w:val="center"/>
              <w:rPr>
                <w:rFonts w:ascii="Times New Roman" w:eastAsia="Times New Roman" w:hAnsi="Times New Roman" w:cs="Times New Roman"/>
                <w:color w:val="000000"/>
                <w:sz w:val="24"/>
                <w:szCs w:val="24"/>
                <w:lang w:eastAsia="es-CO"/>
              </w:rPr>
            </w:pPr>
            <w:r w:rsidRPr="000F0FEE">
              <w:rPr>
                <w:rFonts w:ascii="Times New Roman" w:eastAsia="Times New Roman" w:hAnsi="Times New Roman" w:cs="Times New Roman"/>
                <w:color w:val="000000"/>
                <w:sz w:val="24"/>
                <w:szCs w:val="24"/>
                <w:lang w:eastAsia="es-CO"/>
              </w:rPr>
              <w:t>2,77</w:t>
            </w:r>
          </w:p>
        </w:tc>
        <w:tc>
          <w:tcPr>
            <w:tcW w:w="1720" w:type="dxa"/>
            <w:tcBorders>
              <w:top w:val="single" w:sz="4" w:space="0" w:color="4472C4"/>
              <w:left w:val="single" w:sz="4" w:space="0" w:color="4472C4"/>
              <w:bottom w:val="single" w:sz="4" w:space="0" w:color="4472C4"/>
              <w:right w:val="single" w:sz="4" w:space="0" w:color="4472C4"/>
            </w:tcBorders>
            <w:shd w:val="clear" w:color="000000" w:fill="FFFFFF"/>
            <w:vAlign w:val="center"/>
            <w:hideMark/>
          </w:tcPr>
          <w:p w14:paraId="370EA661" w14:textId="77777777" w:rsidR="000658EB" w:rsidRPr="000F0FEE" w:rsidRDefault="000658EB" w:rsidP="000658EB">
            <w:pPr>
              <w:spacing w:after="0" w:line="240" w:lineRule="auto"/>
              <w:jc w:val="center"/>
              <w:rPr>
                <w:rFonts w:ascii="Times New Roman" w:eastAsia="Times New Roman" w:hAnsi="Times New Roman" w:cs="Times New Roman"/>
                <w:sz w:val="24"/>
                <w:szCs w:val="24"/>
                <w:lang w:eastAsia="es-CO"/>
              </w:rPr>
            </w:pPr>
            <w:r w:rsidRPr="000F0FEE">
              <w:rPr>
                <w:rFonts w:ascii="Times New Roman" w:eastAsia="Times New Roman" w:hAnsi="Times New Roman" w:cs="Times New Roman"/>
                <w:sz w:val="24"/>
                <w:szCs w:val="24"/>
                <w:lang w:eastAsia="es-CO"/>
              </w:rPr>
              <w:t>68,31</w:t>
            </w:r>
          </w:p>
        </w:tc>
      </w:tr>
      <w:tr w:rsidR="000658EB" w:rsidRPr="000F0FEE" w14:paraId="5D088953" w14:textId="77777777" w:rsidTr="000658EB">
        <w:trPr>
          <w:trHeight w:val="300"/>
          <w:jc w:val="center"/>
        </w:trPr>
        <w:tc>
          <w:tcPr>
            <w:tcW w:w="120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664C4BC" w14:textId="77777777" w:rsidR="000658EB" w:rsidRPr="000F0FEE" w:rsidRDefault="000658EB" w:rsidP="000658EB">
            <w:pPr>
              <w:spacing w:after="0" w:line="240" w:lineRule="auto"/>
              <w:jc w:val="center"/>
              <w:rPr>
                <w:rFonts w:ascii="Times New Roman" w:eastAsia="Times New Roman" w:hAnsi="Times New Roman" w:cs="Times New Roman"/>
                <w:color w:val="000000"/>
                <w:sz w:val="24"/>
                <w:szCs w:val="24"/>
                <w:lang w:eastAsia="es-CO"/>
              </w:rPr>
            </w:pPr>
            <w:r w:rsidRPr="000F0FEE">
              <w:rPr>
                <w:rFonts w:ascii="Times New Roman" w:eastAsia="Times New Roman" w:hAnsi="Times New Roman" w:cs="Times New Roman"/>
                <w:color w:val="000000"/>
                <w:sz w:val="24"/>
                <w:szCs w:val="24"/>
                <w:lang w:eastAsia="es-CO"/>
              </w:rPr>
              <w:t>Junio</w:t>
            </w:r>
          </w:p>
        </w:tc>
        <w:tc>
          <w:tcPr>
            <w:tcW w:w="2320" w:type="dxa"/>
            <w:tcBorders>
              <w:top w:val="single" w:sz="4" w:space="0" w:color="4472C4"/>
              <w:left w:val="single" w:sz="4" w:space="0" w:color="4472C4"/>
              <w:bottom w:val="single" w:sz="4" w:space="0" w:color="4472C4"/>
              <w:right w:val="single" w:sz="4" w:space="0" w:color="4472C4"/>
            </w:tcBorders>
            <w:shd w:val="clear" w:color="auto" w:fill="auto"/>
            <w:vAlign w:val="center"/>
            <w:hideMark/>
          </w:tcPr>
          <w:p w14:paraId="42DC4261" w14:textId="77777777" w:rsidR="000658EB" w:rsidRPr="000F0FEE" w:rsidRDefault="000658EB" w:rsidP="000658EB">
            <w:pPr>
              <w:spacing w:after="0" w:line="240" w:lineRule="auto"/>
              <w:jc w:val="center"/>
              <w:rPr>
                <w:rFonts w:ascii="Times New Roman" w:eastAsia="Times New Roman" w:hAnsi="Times New Roman" w:cs="Times New Roman"/>
                <w:color w:val="000000"/>
                <w:sz w:val="24"/>
                <w:szCs w:val="24"/>
                <w:lang w:eastAsia="es-CO"/>
              </w:rPr>
            </w:pPr>
            <w:r w:rsidRPr="000F0FEE">
              <w:rPr>
                <w:rFonts w:ascii="Times New Roman" w:eastAsia="Times New Roman" w:hAnsi="Times New Roman" w:cs="Times New Roman"/>
                <w:color w:val="000000"/>
                <w:sz w:val="24"/>
                <w:szCs w:val="24"/>
                <w:lang w:eastAsia="es-CO"/>
              </w:rPr>
              <w:t>2,13</w:t>
            </w:r>
          </w:p>
        </w:tc>
        <w:tc>
          <w:tcPr>
            <w:tcW w:w="172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6EB542A" w14:textId="77777777" w:rsidR="000658EB" w:rsidRPr="000F0FEE" w:rsidRDefault="000658EB" w:rsidP="000658EB">
            <w:pPr>
              <w:spacing w:after="0" w:line="240" w:lineRule="auto"/>
              <w:jc w:val="center"/>
              <w:rPr>
                <w:rFonts w:ascii="Times New Roman" w:eastAsia="Times New Roman" w:hAnsi="Times New Roman" w:cs="Times New Roman"/>
                <w:sz w:val="24"/>
                <w:szCs w:val="24"/>
                <w:lang w:eastAsia="es-CO"/>
              </w:rPr>
            </w:pPr>
            <w:r w:rsidRPr="000F0FEE">
              <w:rPr>
                <w:rFonts w:ascii="Times New Roman" w:eastAsia="Times New Roman" w:hAnsi="Times New Roman" w:cs="Times New Roman"/>
                <w:sz w:val="24"/>
                <w:szCs w:val="24"/>
                <w:lang w:eastAsia="es-CO"/>
              </w:rPr>
              <w:t>73,41</w:t>
            </w:r>
          </w:p>
        </w:tc>
      </w:tr>
      <w:tr w:rsidR="000658EB" w:rsidRPr="000F0FEE" w14:paraId="1DAAB6A8" w14:textId="77777777" w:rsidTr="000658EB">
        <w:trPr>
          <w:trHeight w:val="300"/>
          <w:jc w:val="center"/>
        </w:trPr>
        <w:tc>
          <w:tcPr>
            <w:tcW w:w="120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B892C97" w14:textId="77777777" w:rsidR="000658EB" w:rsidRPr="000F0FEE" w:rsidRDefault="000658EB" w:rsidP="000658EB">
            <w:pPr>
              <w:spacing w:after="0" w:line="240" w:lineRule="auto"/>
              <w:jc w:val="center"/>
              <w:rPr>
                <w:rFonts w:ascii="Times New Roman" w:eastAsia="Times New Roman" w:hAnsi="Times New Roman" w:cs="Times New Roman"/>
                <w:color w:val="000000"/>
                <w:sz w:val="24"/>
                <w:szCs w:val="24"/>
                <w:lang w:eastAsia="es-CO"/>
              </w:rPr>
            </w:pPr>
            <w:r w:rsidRPr="000F0FEE">
              <w:rPr>
                <w:rFonts w:ascii="Times New Roman" w:eastAsia="Times New Roman" w:hAnsi="Times New Roman" w:cs="Times New Roman"/>
                <w:color w:val="000000"/>
                <w:sz w:val="24"/>
                <w:szCs w:val="24"/>
                <w:lang w:eastAsia="es-CO"/>
              </w:rPr>
              <w:t>Julio</w:t>
            </w:r>
          </w:p>
        </w:tc>
        <w:tc>
          <w:tcPr>
            <w:tcW w:w="2320" w:type="dxa"/>
            <w:tcBorders>
              <w:top w:val="single" w:sz="4" w:space="0" w:color="4472C4"/>
              <w:left w:val="single" w:sz="4" w:space="0" w:color="4472C4"/>
              <w:bottom w:val="single" w:sz="4" w:space="0" w:color="4472C4"/>
              <w:right w:val="single" w:sz="4" w:space="0" w:color="4472C4"/>
            </w:tcBorders>
            <w:shd w:val="clear" w:color="D9E1F2" w:fill="D9E1F2"/>
            <w:vAlign w:val="center"/>
            <w:hideMark/>
          </w:tcPr>
          <w:p w14:paraId="488064DD" w14:textId="77777777" w:rsidR="000658EB" w:rsidRPr="000F0FEE" w:rsidRDefault="000658EB" w:rsidP="000658EB">
            <w:pPr>
              <w:spacing w:after="0" w:line="240" w:lineRule="auto"/>
              <w:jc w:val="center"/>
              <w:rPr>
                <w:rFonts w:ascii="Times New Roman" w:eastAsia="Times New Roman" w:hAnsi="Times New Roman" w:cs="Times New Roman"/>
                <w:color w:val="000000"/>
                <w:sz w:val="24"/>
                <w:szCs w:val="24"/>
                <w:lang w:eastAsia="es-CO"/>
              </w:rPr>
            </w:pPr>
            <w:r w:rsidRPr="000F0FEE">
              <w:rPr>
                <w:rFonts w:ascii="Times New Roman" w:eastAsia="Times New Roman" w:hAnsi="Times New Roman" w:cs="Times New Roman"/>
                <w:color w:val="000000"/>
                <w:sz w:val="24"/>
                <w:szCs w:val="24"/>
                <w:lang w:eastAsia="es-CO"/>
              </w:rPr>
              <w:t>2,66</w:t>
            </w:r>
          </w:p>
        </w:tc>
        <w:tc>
          <w:tcPr>
            <w:tcW w:w="172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0AA3B1F" w14:textId="77777777" w:rsidR="000658EB" w:rsidRPr="000F0FEE" w:rsidRDefault="000658EB" w:rsidP="000658EB">
            <w:pPr>
              <w:spacing w:after="0" w:line="240" w:lineRule="auto"/>
              <w:jc w:val="center"/>
              <w:rPr>
                <w:rFonts w:ascii="Times New Roman" w:eastAsia="Times New Roman" w:hAnsi="Times New Roman" w:cs="Times New Roman"/>
                <w:sz w:val="24"/>
                <w:szCs w:val="24"/>
                <w:lang w:eastAsia="es-CO"/>
              </w:rPr>
            </w:pPr>
            <w:r w:rsidRPr="000F0FEE">
              <w:rPr>
                <w:rFonts w:ascii="Times New Roman" w:eastAsia="Times New Roman" w:hAnsi="Times New Roman" w:cs="Times New Roman"/>
                <w:sz w:val="24"/>
                <w:szCs w:val="24"/>
                <w:lang w:eastAsia="es-CO"/>
              </w:rPr>
              <w:t>74,29</w:t>
            </w:r>
          </w:p>
        </w:tc>
      </w:tr>
      <w:tr w:rsidR="000658EB" w:rsidRPr="000F0FEE" w14:paraId="55388905" w14:textId="77777777" w:rsidTr="000658EB">
        <w:trPr>
          <w:trHeight w:val="300"/>
          <w:jc w:val="center"/>
        </w:trPr>
        <w:tc>
          <w:tcPr>
            <w:tcW w:w="120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92E0CD2" w14:textId="77777777" w:rsidR="000658EB" w:rsidRPr="000F0FEE" w:rsidRDefault="000658EB" w:rsidP="000658EB">
            <w:pPr>
              <w:spacing w:after="0" w:line="240" w:lineRule="auto"/>
              <w:jc w:val="center"/>
              <w:rPr>
                <w:rFonts w:ascii="Times New Roman" w:eastAsia="Times New Roman" w:hAnsi="Times New Roman" w:cs="Times New Roman"/>
                <w:color w:val="000000"/>
                <w:sz w:val="24"/>
                <w:szCs w:val="24"/>
                <w:lang w:eastAsia="es-CO"/>
              </w:rPr>
            </w:pPr>
            <w:r w:rsidRPr="000F0FEE">
              <w:rPr>
                <w:rFonts w:ascii="Times New Roman" w:eastAsia="Times New Roman" w:hAnsi="Times New Roman" w:cs="Times New Roman"/>
                <w:color w:val="000000"/>
                <w:sz w:val="24"/>
                <w:szCs w:val="24"/>
                <w:lang w:eastAsia="es-CO"/>
              </w:rPr>
              <w:t>Agosto</w:t>
            </w:r>
          </w:p>
        </w:tc>
        <w:tc>
          <w:tcPr>
            <w:tcW w:w="2320" w:type="dxa"/>
            <w:tcBorders>
              <w:top w:val="single" w:sz="4" w:space="0" w:color="4472C4"/>
              <w:left w:val="single" w:sz="4" w:space="0" w:color="4472C4"/>
              <w:bottom w:val="single" w:sz="4" w:space="0" w:color="4472C4"/>
              <w:right w:val="single" w:sz="4" w:space="0" w:color="4472C4"/>
            </w:tcBorders>
            <w:shd w:val="clear" w:color="auto" w:fill="auto"/>
            <w:vAlign w:val="center"/>
            <w:hideMark/>
          </w:tcPr>
          <w:p w14:paraId="36AEA5B3" w14:textId="77777777" w:rsidR="000658EB" w:rsidRPr="000F0FEE" w:rsidRDefault="000658EB" w:rsidP="000658EB">
            <w:pPr>
              <w:spacing w:after="0" w:line="240" w:lineRule="auto"/>
              <w:jc w:val="center"/>
              <w:rPr>
                <w:rFonts w:ascii="Times New Roman" w:eastAsia="Times New Roman" w:hAnsi="Times New Roman" w:cs="Times New Roman"/>
                <w:color w:val="000000"/>
                <w:sz w:val="24"/>
                <w:szCs w:val="24"/>
                <w:lang w:eastAsia="es-CO"/>
              </w:rPr>
            </w:pPr>
            <w:r w:rsidRPr="000F0FEE">
              <w:rPr>
                <w:rFonts w:ascii="Times New Roman" w:eastAsia="Times New Roman" w:hAnsi="Times New Roman" w:cs="Times New Roman"/>
                <w:color w:val="000000"/>
                <w:sz w:val="24"/>
                <w:szCs w:val="24"/>
                <w:lang w:eastAsia="es-CO"/>
              </w:rPr>
              <w:t>3,41</w:t>
            </w:r>
          </w:p>
        </w:tc>
        <w:tc>
          <w:tcPr>
            <w:tcW w:w="172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517983F" w14:textId="77777777" w:rsidR="000658EB" w:rsidRPr="000F0FEE" w:rsidRDefault="000658EB" w:rsidP="000658EB">
            <w:pPr>
              <w:spacing w:after="0" w:line="240" w:lineRule="auto"/>
              <w:jc w:val="center"/>
              <w:rPr>
                <w:rFonts w:ascii="Times New Roman" w:eastAsia="Times New Roman" w:hAnsi="Times New Roman" w:cs="Times New Roman"/>
                <w:sz w:val="24"/>
                <w:szCs w:val="24"/>
                <w:lang w:eastAsia="es-CO"/>
              </w:rPr>
            </w:pPr>
            <w:r w:rsidRPr="000F0FEE">
              <w:rPr>
                <w:rFonts w:ascii="Times New Roman" w:eastAsia="Times New Roman" w:hAnsi="Times New Roman" w:cs="Times New Roman"/>
                <w:sz w:val="24"/>
                <w:szCs w:val="24"/>
                <w:lang w:eastAsia="es-CO"/>
              </w:rPr>
              <w:t>70,51</w:t>
            </w:r>
          </w:p>
        </w:tc>
      </w:tr>
      <w:tr w:rsidR="000658EB" w:rsidRPr="000F0FEE" w14:paraId="4119696A" w14:textId="77777777" w:rsidTr="000658EB">
        <w:trPr>
          <w:trHeight w:val="300"/>
          <w:jc w:val="center"/>
        </w:trPr>
        <w:tc>
          <w:tcPr>
            <w:tcW w:w="120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4ED6060" w14:textId="77777777" w:rsidR="000658EB" w:rsidRPr="000F0FEE" w:rsidRDefault="000658EB" w:rsidP="000658EB">
            <w:pPr>
              <w:spacing w:after="0" w:line="240" w:lineRule="auto"/>
              <w:jc w:val="center"/>
              <w:rPr>
                <w:rFonts w:ascii="Times New Roman" w:eastAsia="Times New Roman" w:hAnsi="Times New Roman" w:cs="Times New Roman"/>
                <w:color w:val="000000"/>
                <w:sz w:val="24"/>
                <w:szCs w:val="24"/>
                <w:lang w:eastAsia="es-CO"/>
              </w:rPr>
            </w:pPr>
            <w:r w:rsidRPr="000F0FEE">
              <w:rPr>
                <w:rFonts w:ascii="Times New Roman" w:eastAsia="Times New Roman" w:hAnsi="Times New Roman" w:cs="Times New Roman"/>
                <w:color w:val="000000"/>
                <w:sz w:val="24"/>
                <w:szCs w:val="24"/>
                <w:lang w:eastAsia="es-CO"/>
              </w:rPr>
              <w:t>Septiembre</w:t>
            </w:r>
          </w:p>
        </w:tc>
        <w:tc>
          <w:tcPr>
            <w:tcW w:w="2320" w:type="dxa"/>
            <w:tcBorders>
              <w:top w:val="single" w:sz="4" w:space="0" w:color="4472C4"/>
              <w:left w:val="single" w:sz="4" w:space="0" w:color="4472C4"/>
              <w:bottom w:val="single" w:sz="4" w:space="0" w:color="4472C4"/>
              <w:right w:val="single" w:sz="4" w:space="0" w:color="4472C4"/>
            </w:tcBorders>
            <w:shd w:val="clear" w:color="D9E1F2" w:fill="D9E1F2"/>
            <w:vAlign w:val="center"/>
            <w:hideMark/>
          </w:tcPr>
          <w:p w14:paraId="519741BA" w14:textId="77777777" w:rsidR="000658EB" w:rsidRPr="000F0FEE" w:rsidRDefault="000658EB" w:rsidP="000658EB">
            <w:pPr>
              <w:spacing w:after="0" w:line="240" w:lineRule="auto"/>
              <w:jc w:val="center"/>
              <w:rPr>
                <w:rFonts w:ascii="Times New Roman" w:eastAsia="Times New Roman" w:hAnsi="Times New Roman" w:cs="Times New Roman"/>
                <w:color w:val="000000"/>
                <w:sz w:val="24"/>
                <w:szCs w:val="24"/>
                <w:lang w:eastAsia="es-CO"/>
              </w:rPr>
            </w:pPr>
            <w:r w:rsidRPr="000F0FEE">
              <w:rPr>
                <w:rFonts w:ascii="Times New Roman" w:eastAsia="Times New Roman" w:hAnsi="Times New Roman" w:cs="Times New Roman"/>
                <w:color w:val="000000"/>
                <w:sz w:val="24"/>
                <w:szCs w:val="24"/>
                <w:lang w:eastAsia="es-CO"/>
              </w:rPr>
              <w:t>2,81</w:t>
            </w:r>
          </w:p>
        </w:tc>
        <w:tc>
          <w:tcPr>
            <w:tcW w:w="172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2C16A57" w14:textId="77777777" w:rsidR="000658EB" w:rsidRPr="000F0FEE" w:rsidRDefault="000658EB" w:rsidP="000658EB">
            <w:pPr>
              <w:spacing w:after="0" w:line="240" w:lineRule="auto"/>
              <w:jc w:val="center"/>
              <w:rPr>
                <w:rFonts w:ascii="Times New Roman" w:eastAsia="Times New Roman" w:hAnsi="Times New Roman" w:cs="Times New Roman"/>
                <w:sz w:val="24"/>
                <w:szCs w:val="24"/>
                <w:lang w:eastAsia="es-CO"/>
              </w:rPr>
            </w:pPr>
            <w:r w:rsidRPr="000F0FEE">
              <w:rPr>
                <w:rFonts w:ascii="Times New Roman" w:eastAsia="Times New Roman" w:hAnsi="Times New Roman" w:cs="Times New Roman"/>
                <w:sz w:val="24"/>
                <w:szCs w:val="24"/>
                <w:lang w:eastAsia="es-CO"/>
              </w:rPr>
              <w:t>74,88</w:t>
            </w:r>
          </w:p>
        </w:tc>
      </w:tr>
      <w:tr w:rsidR="000658EB" w:rsidRPr="000F0FEE" w14:paraId="746D9566" w14:textId="77777777" w:rsidTr="000658EB">
        <w:trPr>
          <w:trHeight w:val="300"/>
          <w:jc w:val="center"/>
        </w:trPr>
        <w:tc>
          <w:tcPr>
            <w:tcW w:w="120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6EDF13C" w14:textId="77777777" w:rsidR="000658EB" w:rsidRPr="000F0FEE" w:rsidRDefault="000658EB" w:rsidP="000658EB">
            <w:pPr>
              <w:spacing w:after="0" w:line="240" w:lineRule="auto"/>
              <w:jc w:val="center"/>
              <w:rPr>
                <w:rFonts w:ascii="Times New Roman" w:eastAsia="Times New Roman" w:hAnsi="Times New Roman" w:cs="Times New Roman"/>
                <w:color w:val="000000"/>
                <w:sz w:val="24"/>
                <w:szCs w:val="24"/>
                <w:lang w:eastAsia="es-CO"/>
              </w:rPr>
            </w:pPr>
            <w:r w:rsidRPr="000F0FEE">
              <w:rPr>
                <w:rFonts w:ascii="Times New Roman" w:eastAsia="Times New Roman" w:hAnsi="Times New Roman" w:cs="Times New Roman"/>
                <w:color w:val="000000"/>
                <w:sz w:val="24"/>
                <w:szCs w:val="24"/>
                <w:lang w:eastAsia="es-CO"/>
              </w:rPr>
              <w:t>Octubre</w:t>
            </w:r>
          </w:p>
        </w:tc>
        <w:tc>
          <w:tcPr>
            <w:tcW w:w="2320" w:type="dxa"/>
            <w:tcBorders>
              <w:top w:val="single" w:sz="4" w:space="0" w:color="4472C4"/>
              <w:left w:val="single" w:sz="4" w:space="0" w:color="4472C4"/>
              <w:bottom w:val="single" w:sz="4" w:space="0" w:color="4472C4"/>
              <w:right w:val="single" w:sz="4" w:space="0" w:color="4472C4"/>
            </w:tcBorders>
            <w:shd w:val="clear" w:color="auto" w:fill="auto"/>
            <w:vAlign w:val="center"/>
            <w:hideMark/>
          </w:tcPr>
          <w:p w14:paraId="714C4996" w14:textId="77777777" w:rsidR="000658EB" w:rsidRPr="000F0FEE" w:rsidRDefault="000658EB" w:rsidP="000658EB">
            <w:pPr>
              <w:spacing w:after="0" w:line="240" w:lineRule="auto"/>
              <w:jc w:val="center"/>
              <w:rPr>
                <w:rFonts w:ascii="Times New Roman" w:eastAsia="Times New Roman" w:hAnsi="Times New Roman" w:cs="Times New Roman"/>
                <w:color w:val="000000"/>
                <w:sz w:val="24"/>
                <w:szCs w:val="24"/>
                <w:lang w:eastAsia="es-CO"/>
              </w:rPr>
            </w:pPr>
            <w:r w:rsidRPr="000F0FEE">
              <w:rPr>
                <w:rFonts w:ascii="Times New Roman" w:eastAsia="Times New Roman" w:hAnsi="Times New Roman" w:cs="Times New Roman"/>
                <w:color w:val="000000"/>
                <w:sz w:val="24"/>
                <w:szCs w:val="24"/>
                <w:lang w:eastAsia="es-CO"/>
              </w:rPr>
              <w:t>2,18</w:t>
            </w:r>
          </w:p>
        </w:tc>
        <w:tc>
          <w:tcPr>
            <w:tcW w:w="1720" w:type="dxa"/>
            <w:tcBorders>
              <w:top w:val="single" w:sz="4" w:space="0" w:color="4472C4"/>
              <w:left w:val="single" w:sz="4" w:space="0" w:color="4472C4"/>
              <w:bottom w:val="single" w:sz="4" w:space="0" w:color="4472C4"/>
              <w:right w:val="single" w:sz="4" w:space="0" w:color="4472C4"/>
            </w:tcBorders>
            <w:shd w:val="clear" w:color="000000" w:fill="FFFFFF"/>
            <w:vAlign w:val="center"/>
            <w:hideMark/>
          </w:tcPr>
          <w:p w14:paraId="16AFE194" w14:textId="77777777" w:rsidR="000658EB" w:rsidRPr="000F0FEE" w:rsidRDefault="000658EB" w:rsidP="000658EB">
            <w:pPr>
              <w:spacing w:after="0" w:line="240" w:lineRule="auto"/>
              <w:jc w:val="center"/>
              <w:rPr>
                <w:rFonts w:ascii="Times New Roman" w:eastAsia="Times New Roman" w:hAnsi="Times New Roman" w:cs="Times New Roman"/>
                <w:sz w:val="24"/>
                <w:szCs w:val="24"/>
                <w:lang w:eastAsia="es-CO"/>
              </w:rPr>
            </w:pPr>
            <w:r w:rsidRPr="000F0FEE">
              <w:rPr>
                <w:rFonts w:ascii="Times New Roman" w:eastAsia="Times New Roman" w:hAnsi="Times New Roman" w:cs="Times New Roman"/>
                <w:sz w:val="24"/>
                <w:szCs w:val="24"/>
                <w:lang w:eastAsia="es-CO"/>
              </w:rPr>
              <w:t>83,75</w:t>
            </w:r>
          </w:p>
        </w:tc>
      </w:tr>
      <w:tr w:rsidR="000658EB" w:rsidRPr="000F0FEE" w14:paraId="711A2BC5" w14:textId="77777777" w:rsidTr="000658EB">
        <w:trPr>
          <w:trHeight w:val="300"/>
          <w:jc w:val="center"/>
        </w:trPr>
        <w:tc>
          <w:tcPr>
            <w:tcW w:w="120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B095175" w14:textId="77777777" w:rsidR="000658EB" w:rsidRPr="000F0FEE" w:rsidRDefault="000658EB" w:rsidP="000658EB">
            <w:pPr>
              <w:spacing w:after="0" w:line="240" w:lineRule="auto"/>
              <w:jc w:val="center"/>
              <w:rPr>
                <w:rFonts w:ascii="Times New Roman" w:eastAsia="Times New Roman" w:hAnsi="Times New Roman" w:cs="Times New Roman"/>
                <w:color w:val="000000"/>
                <w:sz w:val="24"/>
                <w:szCs w:val="24"/>
                <w:lang w:eastAsia="es-CO"/>
              </w:rPr>
            </w:pPr>
            <w:r w:rsidRPr="000F0FEE">
              <w:rPr>
                <w:rFonts w:ascii="Times New Roman" w:eastAsia="Times New Roman" w:hAnsi="Times New Roman" w:cs="Times New Roman"/>
                <w:color w:val="000000"/>
                <w:sz w:val="24"/>
                <w:szCs w:val="24"/>
                <w:lang w:eastAsia="es-CO"/>
              </w:rPr>
              <w:t>Noviembre</w:t>
            </w:r>
          </w:p>
        </w:tc>
        <w:tc>
          <w:tcPr>
            <w:tcW w:w="2320" w:type="dxa"/>
            <w:tcBorders>
              <w:top w:val="single" w:sz="4" w:space="0" w:color="4472C4"/>
              <w:left w:val="single" w:sz="4" w:space="0" w:color="4472C4"/>
              <w:bottom w:val="single" w:sz="4" w:space="0" w:color="4472C4"/>
              <w:right w:val="single" w:sz="4" w:space="0" w:color="4472C4"/>
            </w:tcBorders>
            <w:shd w:val="clear" w:color="D9E1F2" w:fill="D9E1F2"/>
            <w:vAlign w:val="center"/>
            <w:hideMark/>
          </w:tcPr>
          <w:p w14:paraId="1F86C275" w14:textId="77777777" w:rsidR="000658EB" w:rsidRPr="000F0FEE" w:rsidRDefault="000658EB" w:rsidP="000658EB">
            <w:pPr>
              <w:spacing w:after="0" w:line="240" w:lineRule="auto"/>
              <w:jc w:val="center"/>
              <w:rPr>
                <w:rFonts w:ascii="Times New Roman" w:eastAsia="Times New Roman" w:hAnsi="Times New Roman" w:cs="Times New Roman"/>
                <w:color w:val="000000"/>
                <w:sz w:val="24"/>
                <w:szCs w:val="24"/>
                <w:lang w:eastAsia="es-CO"/>
              </w:rPr>
            </w:pPr>
            <w:r w:rsidRPr="000F0FEE">
              <w:rPr>
                <w:rFonts w:ascii="Times New Roman" w:eastAsia="Times New Roman" w:hAnsi="Times New Roman" w:cs="Times New Roman"/>
                <w:color w:val="000000"/>
                <w:sz w:val="24"/>
                <w:szCs w:val="24"/>
                <w:lang w:eastAsia="es-CO"/>
              </w:rPr>
              <w:t>1,85</w:t>
            </w:r>
          </w:p>
        </w:tc>
        <w:tc>
          <w:tcPr>
            <w:tcW w:w="172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FDECAE3" w14:textId="77777777" w:rsidR="000658EB" w:rsidRPr="000F0FEE" w:rsidRDefault="000658EB" w:rsidP="000658EB">
            <w:pPr>
              <w:spacing w:after="0" w:line="240" w:lineRule="auto"/>
              <w:jc w:val="center"/>
              <w:rPr>
                <w:rFonts w:ascii="Times New Roman" w:eastAsia="Times New Roman" w:hAnsi="Times New Roman" w:cs="Times New Roman"/>
                <w:sz w:val="24"/>
                <w:szCs w:val="24"/>
                <w:lang w:eastAsia="es-CO"/>
              </w:rPr>
            </w:pPr>
            <w:r w:rsidRPr="000F0FEE">
              <w:rPr>
                <w:rFonts w:ascii="Times New Roman" w:eastAsia="Times New Roman" w:hAnsi="Times New Roman" w:cs="Times New Roman"/>
                <w:sz w:val="24"/>
                <w:szCs w:val="24"/>
                <w:lang w:eastAsia="es-CO"/>
              </w:rPr>
              <w:t>80,85</w:t>
            </w:r>
          </w:p>
        </w:tc>
      </w:tr>
      <w:tr w:rsidR="000658EB" w:rsidRPr="000F0FEE" w14:paraId="6F3BAD6C" w14:textId="77777777" w:rsidTr="000658EB">
        <w:trPr>
          <w:trHeight w:val="300"/>
          <w:jc w:val="center"/>
        </w:trPr>
        <w:tc>
          <w:tcPr>
            <w:tcW w:w="120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40E2572" w14:textId="77777777" w:rsidR="000658EB" w:rsidRPr="000F0FEE" w:rsidRDefault="000658EB" w:rsidP="000658EB">
            <w:pPr>
              <w:spacing w:after="0" w:line="240" w:lineRule="auto"/>
              <w:jc w:val="center"/>
              <w:rPr>
                <w:rFonts w:ascii="Times New Roman" w:eastAsia="Times New Roman" w:hAnsi="Times New Roman" w:cs="Times New Roman"/>
                <w:color w:val="000000"/>
                <w:sz w:val="24"/>
                <w:szCs w:val="24"/>
                <w:lang w:eastAsia="es-CO"/>
              </w:rPr>
            </w:pPr>
            <w:r w:rsidRPr="000F0FEE">
              <w:rPr>
                <w:rFonts w:ascii="Times New Roman" w:eastAsia="Times New Roman" w:hAnsi="Times New Roman" w:cs="Times New Roman"/>
                <w:color w:val="000000"/>
                <w:sz w:val="24"/>
                <w:szCs w:val="24"/>
                <w:lang w:eastAsia="es-CO"/>
              </w:rPr>
              <w:t>Diciembre</w:t>
            </w:r>
          </w:p>
        </w:tc>
        <w:tc>
          <w:tcPr>
            <w:tcW w:w="2320" w:type="dxa"/>
            <w:tcBorders>
              <w:top w:val="single" w:sz="4" w:space="0" w:color="4472C4"/>
              <w:left w:val="single" w:sz="4" w:space="0" w:color="4472C4"/>
              <w:bottom w:val="single" w:sz="4" w:space="0" w:color="4472C4"/>
              <w:right w:val="single" w:sz="4" w:space="0" w:color="4472C4"/>
            </w:tcBorders>
            <w:shd w:val="clear" w:color="auto" w:fill="auto"/>
            <w:vAlign w:val="center"/>
            <w:hideMark/>
          </w:tcPr>
          <w:p w14:paraId="7DBF4A12" w14:textId="77777777" w:rsidR="000658EB" w:rsidRPr="000F0FEE" w:rsidRDefault="000658EB" w:rsidP="000658EB">
            <w:pPr>
              <w:spacing w:after="0" w:line="240" w:lineRule="auto"/>
              <w:jc w:val="center"/>
              <w:rPr>
                <w:rFonts w:ascii="Times New Roman" w:eastAsia="Times New Roman" w:hAnsi="Times New Roman" w:cs="Times New Roman"/>
                <w:color w:val="000000"/>
                <w:sz w:val="24"/>
                <w:szCs w:val="24"/>
                <w:lang w:eastAsia="es-CO"/>
              </w:rPr>
            </w:pPr>
            <w:r w:rsidRPr="000F0FEE">
              <w:rPr>
                <w:rFonts w:ascii="Times New Roman" w:eastAsia="Times New Roman" w:hAnsi="Times New Roman" w:cs="Times New Roman"/>
                <w:color w:val="000000"/>
                <w:sz w:val="24"/>
                <w:szCs w:val="24"/>
                <w:lang w:eastAsia="es-CO"/>
              </w:rPr>
              <w:t>1,61</w:t>
            </w:r>
          </w:p>
        </w:tc>
        <w:tc>
          <w:tcPr>
            <w:tcW w:w="172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E899591" w14:textId="77777777" w:rsidR="000658EB" w:rsidRPr="000F0FEE" w:rsidRDefault="000658EB" w:rsidP="000658EB">
            <w:pPr>
              <w:spacing w:after="0" w:line="240" w:lineRule="auto"/>
              <w:jc w:val="center"/>
              <w:rPr>
                <w:rFonts w:ascii="Times New Roman" w:eastAsia="Times New Roman" w:hAnsi="Times New Roman" w:cs="Times New Roman"/>
                <w:sz w:val="24"/>
                <w:szCs w:val="24"/>
                <w:lang w:eastAsia="es-CO"/>
              </w:rPr>
            </w:pPr>
            <w:r w:rsidRPr="000F0FEE">
              <w:rPr>
                <w:rFonts w:ascii="Times New Roman" w:eastAsia="Times New Roman" w:hAnsi="Times New Roman" w:cs="Times New Roman"/>
                <w:sz w:val="24"/>
                <w:szCs w:val="24"/>
                <w:lang w:eastAsia="es-CO"/>
              </w:rPr>
              <w:t>74,80</w:t>
            </w:r>
          </w:p>
        </w:tc>
      </w:tr>
    </w:tbl>
    <w:p w14:paraId="422C3737" w14:textId="0E21E632" w:rsidR="00A92B0C" w:rsidRPr="000F0FEE" w:rsidRDefault="00CA584D" w:rsidP="00CA584D">
      <w:pPr>
        <w:pStyle w:val="Textoindependiente"/>
        <w:spacing w:line="360" w:lineRule="auto"/>
        <w:jc w:val="center"/>
        <w:rPr>
          <w:rFonts w:ascii="Times New Roman" w:hAnsi="Times New Roman" w:cs="Times New Roman"/>
          <w:sz w:val="24"/>
          <w:szCs w:val="24"/>
        </w:rPr>
      </w:pPr>
      <w:r w:rsidRPr="000F0FEE">
        <w:rPr>
          <w:rFonts w:ascii="Times New Roman" w:hAnsi="Times New Roman" w:cs="Times New Roman"/>
          <w:b/>
          <w:bCs/>
          <w:sz w:val="24"/>
          <w:szCs w:val="24"/>
        </w:rPr>
        <w:t>Fuente</w:t>
      </w:r>
      <w:r w:rsidRPr="000F0FEE">
        <w:rPr>
          <w:rFonts w:ascii="Times New Roman" w:hAnsi="Times New Roman" w:cs="Times New Roman"/>
          <w:sz w:val="24"/>
          <w:szCs w:val="24"/>
        </w:rPr>
        <w:t>: el autor</w:t>
      </w:r>
    </w:p>
    <w:p w14:paraId="3D2E02BB" w14:textId="37945CD0" w:rsidR="002E75C2" w:rsidRPr="000F0FEE" w:rsidRDefault="002E75C2" w:rsidP="002E75C2">
      <w:pPr>
        <w:pStyle w:val="Textoindependiente"/>
        <w:spacing w:line="360" w:lineRule="auto"/>
        <w:jc w:val="both"/>
        <w:rPr>
          <w:rFonts w:ascii="Times New Roman" w:hAnsi="Times New Roman" w:cs="Times New Roman"/>
          <w:sz w:val="24"/>
          <w:szCs w:val="24"/>
        </w:rPr>
      </w:pPr>
      <w:r w:rsidRPr="000F0FEE">
        <w:rPr>
          <w:rFonts w:ascii="Times New Roman" w:hAnsi="Times New Roman" w:cs="Times New Roman"/>
          <w:sz w:val="24"/>
          <w:szCs w:val="24"/>
        </w:rPr>
        <w:t xml:space="preserve">En la </w:t>
      </w:r>
      <w:r w:rsidRPr="000F0FEE">
        <w:rPr>
          <w:rFonts w:ascii="Times New Roman" w:hAnsi="Times New Roman" w:cs="Times New Roman"/>
          <w:b/>
          <w:sz w:val="24"/>
          <w:szCs w:val="24"/>
        </w:rPr>
        <w:t>figura 1</w:t>
      </w:r>
      <w:r w:rsidRPr="000F0FEE">
        <w:rPr>
          <w:rFonts w:ascii="Times New Roman" w:hAnsi="Times New Roman" w:cs="Times New Roman"/>
          <w:sz w:val="24"/>
          <w:szCs w:val="24"/>
        </w:rPr>
        <w:t xml:space="preserve"> se aprecia los casos </w:t>
      </w:r>
      <w:r w:rsidR="00D00344" w:rsidRPr="000F0FEE">
        <w:rPr>
          <w:rFonts w:ascii="Times New Roman" w:hAnsi="Times New Roman" w:cs="Times New Roman"/>
          <w:sz w:val="24"/>
          <w:szCs w:val="24"/>
        </w:rPr>
        <w:t xml:space="preserve">por meses de la incidencia por COVID-19 en Colombia, y el precio del </w:t>
      </w:r>
      <w:r w:rsidR="00A442A4" w:rsidRPr="000F0FEE">
        <w:rPr>
          <w:rFonts w:ascii="Times New Roman" w:hAnsi="Times New Roman" w:cs="Times New Roman"/>
          <w:sz w:val="24"/>
          <w:szCs w:val="24"/>
        </w:rPr>
        <w:t>p</w:t>
      </w:r>
      <w:r w:rsidR="00D00344" w:rsidRPr="000F0FEE">
        <w:rPr>
          <w:rFonts w:ascii="Times New Roman" w:hAnsi="Times New Roman" w:cs="Times New Roman"/>
          <w:sz w:val="24"/>
          <w:szCs w:val="24"/>
        </w:rPr>
        <w:t xml:space="preserve">etróleo Brent, </w:t>
      </w:r>
      <w:r w:rsidRPr="000F0FEE">
        <w:rPr>
          <w:rFonts w:ascii="Times New Roman" w:hAnsi="Times New Roman" w:cs="Times New Roman"/>
          <w:sz w:val="24"/>
          <w:szCs w:val="24"/>
        </w:rPr>
        <w:t xml:space="preserve">durante el período de marzo de 2020 </w:t>
      </w:r>
      <w:r w:rsidR="00D00344" w:rsidRPr="000F0FEE">
        <w:rPr>
          <w:rFonts w:ascii="Times New Roman" w:hAnsi="Times New Roman" w:cs="Times New Roman"/>
          <w:sz w:val="24"/>
          <w:szCs w:val="24"/>
        </w:rPr>
        <w:t>a</w:t>
      </w:r>
      <w:r w:rsidRPr="000F0FEE">
        <w:rPr>
          <w:rFonts w:ascii="Times New Roman" w:hAnsi="Times New Roman" w:cs="Times New Roman"/>
          <w:sz w:val="24"/>
          <w:szCs w:val="24"/>
        </w:rPr>
        <w:t xml:space="preserve"> diciembre de 2021. Se puede detallar en el grafico </w:t>
      </w:r>
      <w:r w:rsidR="00A92B0C" w:rsidRPr="000F0FEE">
        <w:rPr>
          <w:rFonts w:ascii="Times New Roman" w:hAnsi="Times New Roman" w:cs="Times New Roman"/>
          <w:sz w:val="24"/>
          <w:szCs w:val="24"/>
        </w:rPr>
        <w:t>cuatro</w:t>
      </w:r>
      <w:r w:rsidRPr="000F0FEE">
        <w:rPr>
          <w:rFonts w:ascii="Times New Roman" w:hAnsi="Times New Roman" w:cs="Times New Roman"/>
          <w:sz w:val="24"/>
          <w:szCs w:val="24"/>
        </w:rPr>
        <w:t xml:space="preserve"> picos notorios de </w:t>
      </w:r>
      <w:r w:rsidR="00545A92" w:rsidRPr="000F0FEE">
        <w:rPr>
          <w:rFonts w:ascii="Times New Roman" w:hAnsi="Times New Roman" w:cs="Times New Roman"/>
          <w:sz w:val="24"/>
          <w:szCs w:val="24"/>
        </w:rPr>
        <w:t>la incidencia en porcentaje por COVID-19,</w:t>
      </w:r>
      <w:r w:rsidRPr="000F0FEE">
        <w:rPr>
          <w:rFonts w:ascii="Times New Roman" w:hAnsi="Times New Roman" w:cs="Times New Roman"/>
          <w:sz w:val="24"/>
          <w:szCs w:val="24"/>
        </w:rPr>
        <w:t xml:space="preserve"> el </w:t>
      </w:r>
      <w:r w:rsidR="00545A92" w:rsidRPr="000F0FEE">
        <w:rPr>
          <w:rFonts w:ascii="Times New Roman" w:hAnsi="Times New Roman" w:cs="Times New Roman"/>
          <w:sz w:val="24"/>
          <w:szCs w:val="24"/>
        </w:rPr>
        <w:t xml:space="preserve">primero en el mes de abril de 2020 (4,71), el segundo en el mes de febrero de 2021 (3,69), </w:t>
      </w:r>
      <w:r w:rsidR="0034640E" w:rsidRPr="000F0FEE">
        <w:rPr>
          <w:rFonts w:ascii="Times New Roman" w:hAnsi="Times New Roman" w:cs="Times New Roman"/>
          <w:sz w:val="24"/>
          <w:szCs w:val="24"/>
        </w:rPr>
        <w:t>el tercer pico en el mes de mayo de 2021 (2,77),</w:t>
      </w:r>
      <w:r w:rsidR="00463566" w:rsidRPr="000F0FEE">
        <w:rPr>
          <w:rFonts w:ascii="Times New Roman" w:hAnsi="Times New Roman" w:cs="Times New Roman"/>
          <w:sz w:val="24"/>
          <w:szCs w:val="24"/>
        </w:rPr>
        <w:t xml:space="preserve"> </w:t>
      </w:r>
      <w:r w:rsidR="00545A92" w:rsidRPr="000F0FEE">
        <w:rPr>
          <w:rFonts w:ascii="Times New Roman" w:hAnsi="Times New Roman" w:cs="Times New Roman"/>
          <w:sz w:val="24"/>
          <w:szCs w:val="24"/>
        </w:rPr>
        <w:t xml:space="preserve">y el </w:t>
      </w:r>
      <w:r w:rsidRPr="000F0FEE">
        <w:rPr>
          <w:rFonts w:ascii="Times New Roman" w:hAnsi="Times New Roman" w:cs="Times New Roman"/>
          <w:sz w:val="24"/>
          <w:szCs w:val="24"/>
        </w:rPr>
        <w:t xml:space="preserve">último pico </w:t>
      </w:r>
      <w:r w:rsidR="00545A92" w:rsidRPr="000F0FEE">
        <w:rPr>
          <w:rFonts w:ascii="Times New Roman" w:hAnsi="Times New Roman" w:cs="Times New Roman"/>
          <w:sz w:val="24"/>
          <w:szCs w:val="24"/>
        </w:rPr>
        <w:t>en el mes de agosto de 2021 (3,41)</w:t>
      </w:r>
      <w:r w:rsidRPr="000F0FEE">
        <w:rPr>
          <w:rFonts w:ascii="Times New Roman" w:hAnsi="Times New Roman" w:cs="Times New Roman"/>
          <w:sz w:val="24"/>
          <w:szCs w:val="24"/>
        </w:rPr>
        <w:t xml:space="preserve">. </w:t>
      </w:r>
    </w:p>
    <w:p w14:paraId="158414E4" w14:textId="34B27620" w:rsidR="00025B17" w:rsidRPr="000F0FEE" w:rsidRDefault="003F0608" w:rsidP="002E75C2">
      <w:pPr>
        <w:pStyle w:val="Textoindependiente"/>
        <w:spacing w:line="360" w:lineRule="auto"/>
        <w:jc w:val="both"/>
        <w:rPr>
          <w:rFonts w:ascii="Times New Roman" w:hAnsi="Times New Roman" w:cs="Times New Roman"/>
          <w:sz w:val="24"/>
          <w:szCs w:val="24"/>
          <w:lang w:eastAsia="es-CO"/>
        </w:rPr>
      </w:pPr>
      <w:r w:rsidRPr="000F0FEE">
        <w:rPr>
          <w:rFonts w:ascii="Times New Roman" w:hAnsi="Times New Roman" w:cs="Times New Roman"/>
          <w:noProof/>
          <w:sz w:val="24"/>
          <w:szCs w:val="24"/>
        </w:rPr>
        <w:drawing>
          <wp:inline distT="0" distB="0" distL="0" distR="0" wp14:anchorId="3D6A78E6" wp14:editId="62BB0DA4">
            <wp:extent cx="5276850" cy="3262313"/>
            <wp:effectExtent l="0" t="0" r="0" b="14605"/>
            <wp:docPr id="2" name="Gráfico 2">
              <a:extLst xmlns:a="http://schemas.openxmlformats.org/drawingml/2006/main">
                <a:ext uri="{FF2B5EF4-FFF2-40B4-BE49-F238E27FC236}">
                  <a16:creationId xmlns:a16="http://schemas.microsoft.com/office/drawing/2014/main" id="{D014C9F9-CB42-4BED-882A-1CE7ED10F6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1509AC30" w14:textId="28D1E0F9" w:rsidR="00180E66" w:rsidRPr="000F0FEE" w:rsidRDefault="00180E66" w:rsidP="00180E66">
      <w:pPr>
        <w:pStyle w:val="Textoindependiente"/>
        <w:spacing w:line="360" w:lineRule="auto"/>
        <w:jc w:val="center"/>
        <w:rPr>
          <w:rFonts w:ascii="Times New Roman" w:hAnsi="Times New Roman" w:cs="Times New Roman"/>
          <w:sz w:val="24"/>
          <w:szCs w:val="24"/>
        </w:rPr>
      </w:pPr>
      <w:r w:rsidRPr="000F0FEE">
        <w:rPr>
          <w:rFonts w:ascii="Times New Roman" w:hAnsi="Times New Roman" w:cs="Times New Roman"/>
          <w:b/>
          <w:bCs/>
          <w:sz w:val="24"/>
          <w:szCs w:val="24"/>
        </w:rPr>
        <w:t>Figura 1</w:t>
      </w:r>
      <w:r w:rsidRPr="000F0FEE">
        <w:rPr>
          <w:rFonts w:ascii="Times New Roman" w:hAnsi="Times New Roman" w:cs="Times New Roman"/>
          <w:sz w:val="24"/>
          <w:szCs w:val="24"/>
        </w:rPr>
        <w:t xml:space="preserve">. Incidencia por COVID-19. </w:t>
      </w:r>
      <w:r w:rsidRPr="000F0FEE">
        <w:rPr>
          <w:rFonts w:ascii="Times New Roman" w:hAnsi="Times New Roman" w:cs="Times New Roman"/>
          <w:b/>
          <w:bCs/>
          <w:sz w:val="24"/>
          <w:szCs w:val="24"/>
        </w:rPr>
        <w:t>Fuente</w:t>
      </w:r>
      <w:r w:rsidRPr="000F0FEE">
        <w:rPr>
          <w:rFonts w:ascii="Times New Roman" w:hAnsi="Times New Roman" w:cs="Times New Roman"/>
          <w:sz w:val="24"/>
          <w:szCs w:val="24"/>
        </w:rPr>
        <w:t>: el autor</w:t>
      </w:r>
    </w:p>
    <w:p w14:paraId="4BFA508A" w14:textId="77777777" w:rsidR="0053220B" w:rsidRPr="000F0FEE" w:rsidRDefault="0053220B" w:rsidP="002E75C2">
      <w:pPr>
        <w:pStyle w:val="Textoindependiente"/>
        <w:spacing w:line="360" w:lineRule="auto"/>
        <w:jc w:val="both"/>
        <w:rPr>
          <w:rFonts w:ascii="Times New Roman" w:hAnsi="Times New Roman" w:cs="Times New Roman"/>
          <w:sz w:val="24"/>
          <w:szCs w:val="24"/>
          <w:lang w:eastAsia="es-CO"/>
        </w:rPr>
      </w:pPr>
    </w:p>
    <w:p w14:paraId="49560C10" w14:textId="2E261E10" w:rsidR="00FC4B2C" w:rsidRPr="000F0FEE" w:rsidRDefault="00FC4B2C" w:rsidP="00FC4B2C">
      <w:pPr>
        <w:pStyle w:val="Textoindependiente"/>
        <w:spacing w:line="360" w:lineRule="auto"/>
        <w:jc w:val="both"/>
        <w:rPr>
          <w:rFonts w:ascii="Times New Roman" w:hAnsi="Times New Roman" w:cs="Times New Roman"/>
          <w:sz w:val="24"/>
          <w:szCs w:val="24"/>
        </w:rPr>
      </w:pPr>
      <w:r w:rsidRPr="000F0FEE">
        <w:rPr>
          <w:rFonts w:ascii="Times New Roman" w:hAnsi="Times New Roman" w:cs="Times New Roman"/>
          <w:sz w:val="24"/>
          <w:szCs w:val="24"/>
          <w:lang w:eastAsia="es-CO"/>
        </w:rPr>
        <w:t xml:space="preserve">En la </w:t>
      </w:r>
      <w:r w:rsidRPr="000F0FEE">
        <w:rPr>
          <w:rFonts w:ascii="Times New Roman" w:hAnsi="Times New Roman" w:cs="Times New Roman"/>
          <w:b/>
          <w:bCs/>
          <w:sz w:val="24"/>
          <w:szCs w:val="24"/>
          <w:lang w:eastAsia="es-CO"/>
        </w:rPr>
        <w:t>figura 2</w:t>
      </w:r>
      <w:r w:rsidRPr="000F0FEE">
        <w:rPr>
          <w:rFonts w:ascii="Times New Roman" w:hAnsi="Times New Roman" w:cs="Times New Roman"/>
          <w:sz w:val="24"/>
          <w:szCs w:val="24"/>
          <w:lang w:eastAsia="es-CO"/>
        </w:rPr>
        <w:t xml:space="preserve"> se aprecia </w:t>
      </w:r>
      <w:r w:rsidRPr="000F0FEE">
        <w:rPr>
          <w:rFonts w:ascii="Times New Roman" w:hAnsi="Times New Roman" w:cs="Times New Roman"/>
          <w:sz w:val="24"/>
          <w:szCs w:val="24"/>
        </w:rPr>
        <w:t xml:space="preserve">el caso del precio </w:t>
      </w:r>
      <w:r w:rsidR="00CF20DA" w:rsidRPr="000F0FEE">
        <w:rPr>
          <w:rFonts w:ascii="Times New Roman" w:hAnsi="Times New Roman" w:cs="Times New Roman"/>
          <w:sz w:val="24"/>
          <w:szCs w:val="24"/>
        </w:rPr>
        <w:t xml:space="preserve">promedio </w:t>
      </w:r>
      <w:r w:rsidRPr="000F0FEE">
        <w:rPr>
          <w:rFonts w:ascii="Times New Roman" w:hAnsi="Times New Roman" w:cs="Times New Roman"/>
          <w:sz w:val="24"/>
          <w:szCs w:val="24"/>
        </w:rPr>
        <w:t>del petróleo Brent, al inicio de la pandemia por COVID-19, comenzó con un precio de US$ 29,24, a partir del mes de abril de 2020 el precio fue aumentando paulatinamente hasta llegar a julio de 2021 con un precio de US$ 79,29, un descenso en el mes de agosto con US$ 70,51, y a partir de allí un ascenso en el precio en el mes de octubre hasta alcanzar los US $ 83,75, luego se observa una disminución en el precio hasta el mes de diciembre de 2021 con US$ 74,80, esto en principio por la aparición en el mes de diciembre en el mundo por la variante ómicron.</w:t>
      </w:r>
    </w:p>
    <w:p w14:paraId="1453A505" w14:textId="0519997C" w:rsidR="0053220B" w:rsidRPr="000F0FEE" w:rsidRDefault="0053220B" w:rsidP="002E75C2">
      <w:pPr>
        <w:pStyle w:val="Textoindependiente"/>
        <w:spacing w:line="360" w:lineRule="auto"/>
        <w:jc w:val="both"/>
        <w:rPr>
          <w:rFonts w:ascii="Times New Roman" w:hAnsi="Times New Roman" w:cs="Times New Roman"/>
          <w:sz w:val="24"/>
          <w:szCs w:val="24"/>
          <w:lang w:eastAsia="es-CO"/>
        </w:rPr>
      </w:pPr>
    </w:p>
    <w:p w14:paraId="42A69F18" w14:textId="449746A9" w:rsidR="0053220B" w:rsidRPr="000F0FEE" w:rsidRDefault="0053220B" w:rsidP="002E75C2">
      <w:pPr>
        <w:pStyle w:val="Textoindependiente"/>
        <w:spacing w:line="360" w:lineRule="auto"/>
        <w:jc w:val="both"/>
        <w:rPr>
          <w:rFonts w:ascii="Times New Roman" w:hAnsi="Times New Roman" w:cs="Times New Roman"/>
          <w:sz w:val="24"/>
          <w:szCs w:val="24"/>
          <w:lang w:eastAsia="es-CO"/>
        </w:rPr>
      </w:pPr>
      <w:r w:rsidRPr="000F0FEE">
        <w:rPr>
          <w:rFonts w:ascii="Times New Roman" w:hAnsi="Times New Roman" w:cs="Times New Roman"/>
          <w:noProof/>
          <w:sz w:val="24"/>
          <w:szCs w:val="24"/>
        </w:rPr>
        <w:drawing>
          <wp:inline distT="0" distB="0" distL="0" distR="0" wp14:anchorId="62F1B1F1" wp14:editId="52119D7E">
            <wp:extent cx="5334000" cy="3105150"/>
            <wp:effectExtent l="0" t="0" r="0" b="0"/>
            <wp:docPr id="3" name="Gráfico 3">
              <a:extLst xmlns:a="http://schemas.openxmlformats.org/drawingml/2006/main">
                <a:ext uri="{FF2B5EF4-FFF2-40B4-BE49-F238E27FC236}">
                  <a16:creationId xmlns:a16="http://schemas.microsoft.com/office/drawing/2014/main" id="{9F8B5CAF-649D-4FAC-8A8C-356F523B30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3EEC58DA" w14:textId="19462851" w:rsidR="0053220B" w:rsidRPr="000F0FEE" w:rsidRDefault="0053220B" w:rsidP="0053220B">
      <w:pPr>
        <w:pStyle w:val="Textoindependiente"/>
        <w:spacing w:line="360" w:lineRule="auto"/>
        <w:jc w:val="center"/>
        <w:rPr>
          <w:rFonts w:ascii="Times New Roman" w:hAnsi="Times New Roman" w:cs="Times New Roman"/>
          <w:sz w:val="24"/>
          <w:szCs w:val="24"/>
        </w:rPr>
      </w:pPr>
      <w:r w:rsidRPr="000F0FEE">
        <w:rPr>
          <w:rFonts w:ascii="Times New Roman" w:hAnsi="Times New Roman" w:cs="Times New Roman"/>
          <w:b/>
          <w:bCs/>
          <w:sz w:val="24"/>
          <w:szCs w:val="24"/>
        </w:rPr>
        <w:t>Figura 2</w:t>
      </w:r>
      <w:r w:rsidRPr="000F0FEE">
        <w:rPr>
          <w:rFonts w:ascii="Times New Roman" w:hAnsi="Times New Roman" w:cs="Times New Roman"/>
          <w:sz w:val="24"/>
          <w:szCs w:val="24"/>
        </w:rPr>
        <w:t xml:space="preserve">. Precio petróleo Brent años 2020 y 2021. </w:t>
      </w:r>
      <w:r w:rsidRPr="000F0FEE">
        <w:rPr>
          <w:rFonts w:ascii="Times New Roman" w:hAnsi="Times New Roman" w:cs="Times New Roman"/>
          <w:b/>
          <w:bCs/>
          <w:sz w:val="24"/>
          <w:szCs w:val="24"/>
        </w:rPr>
        <w:t>Fuente</w:t>
      </w:r>
      <w:r w:rsidRPr="000F0FEE">
        <w:rPr>
          <w:rFonts w:ascii="Times New Roman" w:hAnsi="Times New Roman" w:cs="Times New Roman"/>
          <w:sz w:val="24"/>
          <w:szCs w:val="24"/>
        </w:rPr>
        <w:t>: el autor</w:t>
      </w:r>
    </w:p>
    <w:p w14:paraId="020C60F8" w14:textId="67EE790C" w:rsidR="002E75C2" w:rsidRPr="000F0FEE" w:rsidRDefault="002E75C2" w:rsidP="002E75C2">
      <w:pPr>
        <w:pStyle w:val="Textoindependiente"/>
        <w:spacing w:line="360" w:lineRule="auto"/>
        <w:jc w:val="both"/>
        <w:rPr>
          <w:rFonts w:ascii="Times New Roman" w:hAnsi="Times New Roman" w:cs="Times New Roman"/>
          <w:sz w:val="24"/>
          <w:szCs w:val="24"/>
        </w:rPr>
      </w:pPr>
      <w:r w:rsidRPr="000F0FEE">
        <w:rPr>
          <w:rFonts w:ascii="Times New Roman" w:hAnsi="Times New Roman" w:cs="Times New Roman"/>
          <w:sz w:val="24"/>
          <w:szCs w:val="24"/>
          <w:lang w:eastAsia="es-CO"/>
        </w:rPr>
        <w:t xml:space="preserve">En la </w:t>
      </w:r>
      <w:r w:rsidRPr="000F0FEE">
        <w:rPr>
          <w:rFonts w:ascii="Times New Roman" w:hAnsi="Times New Roman" w:cs="Times New Roman"/>
          <w:b/>
          <w:bCs/>
          <w:sz w:val="24"/>
          <w:szCs w:val="24"/>
          <w:lang w:eastAsia="es-CO"/>
        </w:rPr>
        <w:t>tabla 2</w:t>
      </w:r>
      <w:r w:rsidRPr="000F0FEE">
        <w:rPr>
          <w:rFonts w:ascii="Times New Roman" w:hAnsi="Times New Roman" w:cs="Times New Roman"/>
          <w:sz w:val="24"/>
          <w:szCs w:val="24"/>
          <w:lang w:eastAsia="es-CO"/>
        </w:rPr>
        <w:t xml:space="preserve"> se aprecia el p-valor de las pruebas, para las variables </w:t>
      </w:r>
      <w:r w:rsidR="009A31DA" w:rsidRPr="000F0FEE">
        <w:rPr>
          <w:rFonts w:ascii="Times New Roman" w:hAnsi="Times New Roman" w:cs="Times New Roman"/>
          <w:sz w:val="24"/>
          <w:szCs w:val="24"/>
          <w:lang w:eastAsia="es-CO"/>
        </w:rPr>
        <w:t xml:space="preserve">incidencia por </w:t>
      </w:r>
      <w:r w:rsidRPr="000F0FEE">
        <w:rPr>
          <w:rFonts w:ascii="Times New Roman" w:hAnsi="Times New Roman" w:cs="Times New Roman"/>
          <w:sz w:val="24"/>
          <w:szCs w:val="24"/>
        </w:rPr>
        <w:t xml:space="preserve">SARS-CoV-2, </w:t>
      </w:r>
      <w:r w:rsidR="009A31DA" w:rsidRPr="000F0FEE">
        <w:rPr>
          <w:rFonts w:ascii="Times New Roman" w:hAnsi="Times New Roman" w:cs="Times New Roman"/>
          <w:sz w:val="24"/>
          <w:szCs w:val="24"/>
        </w:rPr>
        <w:t xml:space="preserve">y el precio del petróleo Brent </w:t>
      </w:r>
      <w:r w:rsidRPr="000F0FEE">
        <w:rPr>
          <w:rFonts w:ascii="Times New Roman" w:hAnsi="Times New Roman" w:cs="Times New Roman"/>
          <w:sz w:val="24"/>
          <w:szCs w:val="24"/>
          <w:lang w:eastAsia="es-CO"/>
        </w:rPr>
        <w:t>es de 0,0</w:t>
      </w:r>
      <w:r w:rsidR="0024070B" w:rsidRPr="000F0FEE">
        <w:rPr>
          <w:rFonts w:ascii="Times New Roman" w:hAnsi="Times New Roman" w:cs="Times New Roman"/>
          <w:sz w:val="24"/>
          <w:szCs w:val="24"/>
          <w:lang w:eastAsia="es-CO"/>
        </w:rPr>
        <w:t>13</w:t>
      </w:r>
      <w:r w:rsidRPr="000F0FEE">
        <w:rPr>
          <w:rFonts w:ascii="Times New Roman" w:hAnsi="Times New Roman" w:cs="Times New Roman"/>
          <w:sz w:val="24"/>
          <w:szCs w:val="24"/>
          <w:lang w:eastAsia="es-CO"/>
        </w:rPr>
        <w:t>, es menor a α =0.0</w:t>
      </w:r>
      <w:r w:rsidR="0024070B" w:rsidRPr="000F0FEE">
        <w:rPr>
          <w:rFonts w:ascii="Times New Roman" w:hAnsi="Times New Roman" w:cs="Times New Roman"/>
          <w:sz w:val="24"/>
          <w:szCs w:val="24"/>
          <w:lang w:eastAsia="es-CO"/>
        </w:rPr>
        <w:t>5</w:t>
      </w:r>
      <w:r w:rsidRPr="000F0FEE">
        <w:rPr>
          <w:rFonts w:ascii="Times New Roman" w:hAnsi="Times New Roman" w:cs="Times New Roman"/>
          <w:sz w:val="24"/>
          <w:szCs w:val="24"/>
          <w:lang w:eastAsia="es-CO"/>
        </w:rPr>
        <w:t>, de esta manera se acepta Ha, es decir la prueba de correlación de Pearson nos indica que e</w:t>
      </w:r>
      <w:r w:rsidRPr="000F0FEE">
        <w:rPr>
          <w:rFonts w:ascii="Times New Roman" w:hAnsi="Times New Roman" w:cs="Times New Roman"/>
          <w:iCs/>
          <w:sz w:val="24"/>
          <w:szCs w:val="24"/>
        </w:rPr>
        <w:t>xiste relación</w:t>
      </w:r>
      <w:r w:rsidRPr="000F0FEE">
        <w:rPr>
          <w:rFonts w:ascii="Times New Roman" w:hAnsi="Times New Roman" w:cs="Times New Roman"/>
          <w:sz w:val="24"/>
          <w:szCs w:val="24"/>
        </w:rPr>
        <w:t xml:space="preserve"> entre </w:t>
      </w:r>
      <w:r w:rsidR="00F5369D" w:rsidRPr="000F0FEE">
        <w:rPr>
          <w:rFonts w:ascii="Times New Roman" w:hAnsi="Times New Roman" w:cs="Times New Roman"/>
          <w:sz w:val="24"/>
          <w:szCs w:val="24"/>
        </w:rPr>
        <w:t>la incidencia por COVID-19</w:t>
      </w:r>
      <w:r w:rsidRPr="000F0FEE">
        <w:rPr>
          <w:rFonts w:ascii="Times New Roman" w:hAnsi="Times New Roman" w:cs="Times New Roman"/>
          <w:sz w:val="24"/>
          <w:szCs w:val="24"/>
        </w:rPr>
        <w:t xml:space="preserve"> en Colombia</w:t>
      </w:r>
      <w:r w:rsidRPr="000F0FEE">
        <w:rPr>
          <w:rFonts w:ascii="Times New Roman" w:hAnsi="Times New Roman" w:cs="Times New Roman"/>
          <w:sz w:val="24"/>
          <w:szCs w:val="24"/>
          <w:lang w:eastAsia="es-CO"/>
        </w:rPr>
        <w:t>,</w:t>
      </w:r>
      <w:r w:rsidR="00F5369D" w:rsidRPr="000F0FEE">
        <w:rPr>
          <w:rFonts w:ascii="Times New Roman" w:hAnsi="Times New Roman" w:cs="Times New Roman"/>
          <w:sz w:val="24"/>
          <w:szCs w:val="24"/>
          <w:lang w:eastAsia="es-CO"/>
        </w:rPr>
        <w:t xml:space="preserve"> y el precio del </w:t>
      </w:r>
      <w:r w:rsidR="00A442A4" w:rsidRPr="000F0FEE">
        <w:rPr>
          <w:rFonts w:ascii="Times New Roman" w:hAnsi="Times New Roman" w:cs="Times New Roman"/>
          <w:sz w:val="24"/>
          <w:szCs w:val="24"/>
          <w:lang w:eastAsia="es-CO"/>
        </w:rPr>
        <w:t>p</w:t>
      </w:r>
      <w:r w:rsidR="00F5369D" w:rsidRPr="000F0FEE">
        <w:rPr>
          <w:rFonts w:ascii="Times New Roman" w:hAnsi="Times New Roman" w:cs="Times New Roman"/>
          <w:sz w:val="24"/>
          <w:szCs w:val="24"/>
          <w:lang w:eastAsia="es-CO"/>
        </w:rPr>
        <w:t>etróleo Brent</w:t>
      </w:r>
      <w:r w:rsidRPr="000F0FEE">
        <w:rPr>
          <w:rFonts w:ascii="Times New Roman" w:hAnsi="Times New Roman" w:cs="Times New Roman"/>
          <w:sz w:val="24"/>
          <w:szCs w:val="24"/>
          <w:lang w:eastAsia="es-CO"/>
        </w:rPr>
        <w:t xml:space="preserve"> durante el período comprendido entre </w:t>
      </w:r>
      <w:r w:rsidRPr="000F0FEE">
        <w:rPr>
          <w:rFonts w:ascii="Times New Roman" w:hAnsi="Times New Roman" w:cs="Times New Roman"/>
          <w:sz w:val="24"/>
          <w:szCs w:val="24"/>
        </w:rPr>
        <w:t>marzo de 2020 a diciembre de 2021.</w:t>
      </w:r>
    </w:p>
    <w:tbl>
      <w:tblPr>
        <w:tblW w:w="671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85"/>
        <w:gridCol w:w="2197"/>
        <w:gridCol w:w="1475"/>
        <w:gridCol w:w="1060"/>
      </w:tblGrid>
      <w:tr w:rsidR="002E75C2" w:rsidRPr="000F0FEE" w14:paraId="21A5E4FD" w14:textId="77777777" w:rsidTr="00282AA7">
        <w:trPr>
          <w:cantSplit/>
          <w:jc w:val="center"/>
        </w:trPr>
        <w:tc>
          <w:tcPr>
            <w:tcW w:w="6717" w:type="dxa"/>
            <w:gridSpan w:val="4"/>
            <w:tcBorders>
              <w:top w:val="nil"/>
              <w:left w:val="nil"/>
              <w:bottom w:val="single" w:sz="4" w:space="0" w:color="auto"/>
              <w:right w:val="nil"/>
            </w:tcBorders>
            <w:shd w:val="clear" w:color="auto" w:fill="FFFFFF"/>
            <w:vAlign w:val="center"/>
          </w:tcPr>
          <w:p w14:paraId="3F0799D9" w14:textId="7B9CD656" w:rsidR="002E75C2" w:rsidRPr="000F0FEE" w:rsidRDefault="002E75C2" w:rsidP="00F63A4D">
            <w:pPr>
              <w:pStyle w:val="Textoindependiente"/>
              <w:spacing w:line="360" w:lineRule="auto"/>
              <w:jc w:val="center"/>
              <w:rPr>
                <w:rFonts w:ascii="Times New Roman" w:hAnsi="Times New Roman" w:cs="Times New Roman"/>
                <w:color w:val="010205"/>
                <w:sz w:val="24"/>
                <w:szCs w:val="24"/>
              </w:rPr>
            </w:pPr>
            <w:r w:rsidRPr="000F0FEE">
              <w:rPr>
                <w:rFonts w:ascii="Times New Roman" w:hAnsi="Times New Roman" w:cs="Times New Roman"/>
                <w:b/>
                <w:bCs/>
                <w:color w:val="010205"/>
                <w:sz w:val="24"/>
                <w:szCs w:val="24"/>
              </w:rPr>
              <w:t xml:space="preserve">Tabla 2. </w:t>
            </w:r>
            <w:r w:rsidRPr="000F0FEE">
              <w:rPr>
                <w:rFonts w:ascii="Times New Roman" w:hAnsi="Times New Roman" w:cs="Times New Roman"/>
                <w:color w:val="010205"/>
                <w:sz w:val="24"/>
                <w:szCs w:val="24"/>
              </w:rPr>
              <w:t>Correlación de Pearson</w:t>
            </w:r>
            <w:r w:rsidR="00F63A4D" w:rsidRPr="000F0FEE">
              <w:rPr>
                <w:rFonts w:ascii="Times New Roman" w:hAnsi="Times New Roman" w:cs="Times New Roman"/>
                <w:color w:val="010205"/>
                <w:sz w:val="24"/>
                <w:szCs w:val="24"/>
              </w:rPr>
              <w:t xml:space="preserve">. </w:t>
            </w:r>
          </w:p>
        </w:tc>
      </w:tr>
      <w:tr w:rsidR="002E75C2" w:rsidRPr="000F0FEE" w14:paraId="36386DAB" w14:textId="77777777" w:rsidTr="00282AA7">
        <w:trPr>
          <w:cantSplit/>
          <w:jc w:val="center"/>
        </w:trPr>
        <w:tc>
          <w:tcPr>
            <w:tcW w:w="418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4E7880" w14:textId="77777777" w:rsidR="002E75C2" w:rsidRPr="000F0FEE" w:rsidRDefault="002E75C2" w:rsidP="00282AA7">
            <w:pPr>
              <w:autoSpaceDE w:val="0"/>
              <w:autoSpaceDN w:val="0"/>
              <w:adjustRightInd w:val="0"/>
              <w:spacing w:after="0" w:line="240" w:lineRule="auto"/>
              <w:rPr>
                <w:rFonts w:ascii="Times New Roman" w:hAnsi="Times New Roman" w:cs="Times New Roman"/>
                <w:sz w:val="24"/>
                <w:szCs w:val="24"/>
              </w:rPr>
            </w:pPr>
          </w:p>
        </w:tc>
        <w:tc>
          <w:tcPr>
            <w:tcW w:w="1475" w:type="dxa"/>
            <w:tcBorders>
              <w:top w:val="single" w:sz="4" w:space="0" w:color="auto"/>
              <w:left w:val="single" w:sz="4" w:space="0" w:color="auto"/>
              <w:bottom w:val="single" w:sz="4" w:space="0" w:color="auto"/>
              <w:right w:val="single" w:sz="4" w:space="0" w:color="auto"/>
            </w:tcBorders>
            <w:shd w:val="clear" w:color="auto" w:fill="FFFFFF"/>
            <w:vAlign w:val="center"/>
          </w:tcPr>
          <w:p w14:paraId="0171C85B" w14:textId="77777777" w:rsidR="002E75C2" w:rsidRPr="000F0FEE" w:rsidRDefault="002E75C2" w:rsidP="00282AA7">
            <w:pPr>
              <w:autoSpaceDE w:val="0"/>
              <w:autoSpaceDN w:val="0"/>
              <w:adjustRightInd w:val="0"/>
              <w:spacing w:after="0" w:line="320" w:lineRule="atLeast"/>
              <w:ind w:left="60" w:right="60"/>
              <w:jc w:val="center"/>
              <w:rPr>
                <w:rFonts w:ascii="Times New Roman" w:hAnsi="Times New Roman" w:cs="Times New Roman"/>
                <w:b/>
                <w:bCs/>
                <w:color w:val="264A60"/>
                <w:sz w:val="24"/>
                <w:szCs w:val="24"/>
              </w:rPr>
            </w:pPr>
            <w:r w:rsidRPr="000F0FEE">
              <w:rPr>
                <w:rFonts w:ascii="Times New Roman" w:hAnsi="Times New Roman" w:cs="Times New Roman"/>
                <w:b/>
                <w:bCs/>
                <w:color w:val="264A60"/>
                <w:sz w:val="24"/>
                <w:szCs w:val="24"/>
              </w:rPr>
              <w:t>Contagio</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center"/>
          </w:tcPr>
          <w:p w14:paraId="051FF64C" w14:textId="77777777" w:rsidR="002E75C2" w:rsidRPr="000F0FEE" w:rsidRDefault="002E75C2" w:rsidP="00282AA7">
            <w:pPr>
              <w:autoSpaceDE w:val="0"/>
              <w:autoSpaceDN w:val="0"/>
              <w:adjustRightInd w:val="0"/>
              <w:spacing w:after="0" w:line="320" w:lineRule="atLeast"/>
              <w:ind w:left="60" w:right="60"/>
              <w:jc w:val="center"/>
              <w:rPr>
                <w:rFonts w:ascii="Times New Roman" w:hAnsi="Times New Roman" w:cs="Times New Roman"/>
                <w:b/>
                <w:bCs/>
                <w:color w:val="264A60"/>
                <w:sz w:val="24"/>
                <w:szCs w:val="24"/>
              </w:rPr>
            </w:pPr>
            <w:r w:rsidRPr="000F0FEE">
              <w:rPr>
                <w:rFonts w:ascii="Times New Roman" w:hAnsi="Times New Roman" w:cs="Times New Roman"/>
                <w:b/>
                <w:bCs/>
                <w:color w:val="264A60"/>
                <w:sz w:val="24"/>
                <w:szCs w:val="24"/>
              </w:rPr>
              <w:t>Recuperados</w:t>
            </w:r>
          </w:p>
        </w:tc>
      </w:tr>
      <w:tr w:rsidR="002E75C2" w:rsidRPr="000F0FEE" w14:paraId="03139162" w14:textId="77777777" w:rsidTr="00282AA7">
        <w:trPr>
          <w:cantSplit/>
          <w:jc w:val="center"/>
        </w:trPr>
        <w:tc>
          <w:tcPr>
            <w:tcW w:w="1985" w:type="dxa"/>
            <w:vMerge w:val="restart"/>
            <w:tcBorders>
              <w:top w:val="single" w:sz="4" w:space="0" w:color="auto"/>
              <w:left w:val="single" w:sz="4" w:space="0" w:color="auto"/>
              <w:bottom w:val="single" w:sz="8" w:space="0" w:color="152935"/>
              <w:right w:val="single" w:sz="4" w:space="0" w:color="auto"/>
            </w:tcBorders>
            <w:shd w:val="clear" w:color="auto" w:fill="E0E0E0"/>
            <w:vAlign w:val="center"/>
          </w:tcPr>
          <w:p w14:paraId="2DD416F7" w14:textId="77777777" w:rsidR="002E75C2" w:rsidRPr="000F0FEE" w:rsidRDefault="002E75C2" w:rsidP="00282AA7">
            <w:pPr>
              <w:autoSpaceDE w:val="0"/>
              <w:autoSpaceDN w:val="0"/>
              <w:adjustRightInd w:val="0"/>
              <w:spacing w:after="0" w:line="320" w:lineRule="atLeast"/>
              <w:ind w:left="60" w:right="60"/>
              <w:rPr>
                <w:rFonts w:ascii="Times New Roman" w:hAnsi="Times New Roman" w:cs="Times New Roman"/>
                <w:color w:val="264A60"/>
                <w:sz w:val="24"/>
                <w:szCs w:val="24"/>
              </w:rPr>
            </w:pPr>
            <w:r w:rsidRPr="000F0FEE">
              <w:rPr>
                <w:rFonts w:ascii="Times New Roman" w:hAnsi="Times New Roman" w:cs="Times New Roman"/>
                <w:color w:val="264A60"/>
                <w:sz w:val="24"/>
                <w:szCs w:val="24"/>
              </w:rPr>
              <w:t>Contagio</w:t>
            </w:r>
          </w:p>
        </w:tc>
        <w:tc>
          <w:tcPr>
            <w:tcW w:w="2197" w:type="dxa"/>
            <w:tcBorders>
              <w:top w:val="single" w:sz="4" w:space="0" w:color="auto"/>
              <w:left w:val="single" w:sz="4" w:space="0" w:color="auto"/>
              <w:bottom w:val="single" w:sz="8" w:space="0" w:color="AEAEAE"/>
              <w:right w:val="single" w:sz="4" w:space="0" w:color="auto"/>
            </w:tcBorders>
            <w:shd w:val="clear" w:color="auto" w:fill="E0E0E0"/>
            <w:vAlign w:val="center"/>
          </w:tcPr>
          <w:p w14:paraId="3C81D427" w14:textId="77777777" w:rsidR="002E75C2" w:rsidRPr="000F0FEE" w:rsidRDefault="002E75C2" w:rsidP="00282AA7">
            <w:pPr>
              <w:autoSpaceDE w:val="0"/>
              <w:autoSpaceDN w:val="0"/>
              <w:adjustRightInd w:val="0"/>
              <w:spacing w:after="0" w:line="320" w:lineRule="atLeast"/>
              <w:ind w:left="60" w:right="60"/>
              <w:rPr>
                <w:rFonts w:ascii="Times New Roman" w:hAnsi="Times New Roman" w:cs="Times New Roman"/>
                <w:color w:val="264A60"/>
                <w:sz w:val="24"/>
                <w:szCs w:val="24"/>
              </w:rPr>
            </w:pPr>
            <w:r w:rsidRPr="000F0FEE">
              <w:rPr>
                <w:rFonts w:ascii="Times New Roman" w:hAnsi="Times New Roman" w:cs="Times New Roman"/>
                <w:color w:val="264A60"/>
                <w:sz w:val="24"/>
                <w:szCs w:val="24"/>
              </w:rPr>
              <w:t>Correlación de Pearson</w:t>
            </w:r>
          </w:p>
        </w:tc>
        <w:tc>
          <w:tcPr>
            <w:tcW w:w="1475" w:type="dxa"/>
            <w:tcBorders>
              <w:top w:val="single" w:sz="4" w:space="0" w:color="auto"/>
              <w:left w:val="single" w:sz="4" w:space="0" w:color="auto"/>
              <w:bottom w:val="single" w:sz="8" w:space="0" w:color="AEAEAE"/>
              <w:right w:val="single" w:sz="4" w:space="0" w:color="auto"/>
            </w:tcBorders>
            <w:shd w:val="clear" w:color="auto" w:fill="FFFFFF"/>
            <w:vAlign w:val="center"/>
          </w:tcPr>
          <w:p w14:paraId="5BB4AE83" w14:textId="77777777" w:rsidR="002E75C2" w:rsidRPr="000F0FEE" w:rsidRDefault="002E75C2" w:rsidP="00282AA7">
            <w:pPr>
              <w:autoSpaceDE w:val="0"/>
              <w:autoSpaceDN w:val="0"/>
              <w:adjustRightInd w:val="0"/>
              <w:spacing w:after="0" w:line="320" w:lineRule="atLeast"/>
              <w:ind w:left="60" w:right="60"/>
              <w:jc w:val="center"/>
              <w:rPr>
                <w:rFonts w:ascii="Times New Roman" w:hAnsi="Times New Roman" w:cs="Times New Roman"/>
                <w:color w:val="010205"/>
                <w:sz w:val="24"/>
                <w:szCs w:val="24"/>
              </w:rPr>
            </w:pPr>
            <w:r w:rsidRPr="000F0FEE">
              <w:rPr>
                <w:rFonts w:ascii="Times New Roman" w:hAnsi="Times New Roman" w:cs="Times New Roman"/>
                <w:color w:val="010205"/>
                <w:sz w:val="24"/>
                <w:szCs w:val="24"/>
              </w:rPr>
              <w:t>1</w:t>
            </w:r>
          </w:p>
        </w:tc>
        <w:tc>
          <w:tcPr>
            <w:tcW w:w="1060" w:type="dxa"/>
            <w:tcBorders>
              <w:top w:val="single" w:sz="4" w:space="0" w:color="auto"/>
              <w:left w:val="single" w:sz="4" w:space="0" w:color="auto"/>
              <w:bottom w:val="single" w:sz="8" w:space="0" w:color="AEAEAE"/>
              <w:right w:val="single" w:sz="4" w:space="0" w:color="auto"/>
            </w:tcBorders>
            <w:shd w:val="clear" w:color="auto" w:fill="FFFFFF"/>
            <w:vAlign w:val="center"/>
          </w:tcPr>
          <w:p w14:paraId="3D97C955" w14:textId="0D07E20D" w:rsidR="002E75C2" w:rsidRPr="000F0FEE" w:rsidRDefault="00361254" w:rsidP="00282AA7">
            <w:pPr>
              <w:autoSpaceDE w:val="0"/>
              <w:autoSpaceDN w:val="0"/>
              <w:adjustRightInd w:val="0"/>
              <w:spacing w:after="0" w:line="320" w:lineRule="atLeast"/>
              <w:ind w:left="60" w:right="60"/>
              <w:jc w:val="center"/>
              <w:rPr>
                <w:rFonts w:ascii="Times New Roman" w:hAnsi="Times New Roman" w:cs="Times New Roman"/>
                <w:color w:val="010205"/>
                <w:sz w:val="24"/>
                <w:szCs w:val="24"/>
              </w:rPr>
            </w:pPr>
            <w:r w:rsidRPr="000F0FEE">
              <w:rPr>
                <w:rFonts w:ascii="Times New Roman" w:hAnsi="Times New Roman" w:cs="Times New Roman"/>
                <w:color w:val="010205"/>
                <w:sz w:val="24"/>
                <w:szCs w:val="24"/>
              </w:rPr>
              <w:t>-</w:t>
            </w:r>
            <w:r w:rsidR="002E75C2" w:rsidRPr="000F0FEE">
              <w:rPr>
                <w:rFonts w:ascii="Times New Roman" w:hAnsi="Times New Roman" w:cs="Times New Roman"/>
                <w:color w:val="010205"/>
                <w:sz w:val="24"/>
                <w:szCs w:val="24"/>
              </w:rPr>
              <w:t>,</w:t>
            </w:r>
            <w:r w:rsidRPr="000F0FEE">
              <w:rPr>
                <w:rFonts w:ascii="Times New Roman" w:hAnsi="Times New Roman" w:cs="Times New Roman"/>
                <w:color w:val="010205"/>
                <w:sz w:val="24"/>
                <w:szCs w:val="24"/>
              </w:rPr>
              <w:t>522</w:t>
            </w:r>
            <w:r w:rsidR="002E75C2" w:rsidRPr="000F0FEE">
              <w:rPr>
                <w:rFonts w:ascii="Times New Roman" w:hAnsi="Times New Roman" w:cs="Times New Roman"/>
                <w:color w:val="010205"/>
                <w:sz w:val="24"/>
                <w:szCs w:val="24"/>
              </w:rPr>
              <w:t>*</w:t>
            </w:r>
          </w:p>
        </w:tc>
      </w:tr>
      <w:tr w:rsidR="002E75C2" w:rsidRPr="000F0FEE" w14:paraId="633F29B1" w14:textId="77777777" w:rsidTr="00282AA7">
        <w:trPr>
          <w:cantSplit/>
          <w:jc w:val="center"/>
        </w:trPr>
        <w:tc>
          <w:tcPr>
            <w:tcW w:w="1985" w:type="dxa"/>
            <w:vMerge/>
            <w:tcBorders>
              <w:top w:val="single" w:sz="8" w:space="0" w:color="152935"/>
              <w:left w:val="single" w:sz="4" w:space="0" w:color="auto"/>
              <w:bottom w:val="single" w:sz="8" w:space="0" w:color="152935"/>
              <w:right w:val="single" w:sz="4" w:space="0" w:color="auto"/>
            </w:tcBorders>
            <w:shd w:val="clear" w:color="auto" w:fill="E0E0E0"/>
            <w:vAlign w:val="center"/>
          </w:tcPr>
          <w:p w14:paraId="20BD055D" w14:textId="77777777" w:rsidR="002E75C2" w:rsidRPr="000F0FEE" w:rsidRDefault="002E75C2" w:rsidP="00282AA7">
            <w:pPr>
              <w:autoSpaceDE w:val="0"/>
              <w:autoSpaceDN w:val="0"/>
              <w:adjustRightInd w:val="0"/>
              <w:spacing w:after="0" w:line="240" w:lineRule="auto"/>
              <w:rPr>
                <w:rFonts w:ascii="Times New Roman" w:hAnsi="Times New Roman" w:cs="Times New Roman"/>
                <w:color w:val="010205"/>
                <w:sz w:val="24"/>
                <w:szCs w:val="24"/>
              </w:rPr>
            </w:pPr>
          </w:p>
        </w:tc>
        <w:tc>
          <w:tcPr>
            <w:tcW w:w="2197" w:type="dxa"/>
            <w:tcBorders>
              <w:top w:val="single" w:sz="8" w:space="0" w:color="AEAEAE"/>
              <w:left w:val="single" w:sz="4" w:space="0" w:color="auto"/>
              <w:bottom w:val="single" w:sz="8" w:space="0" w:color="AEAEAE"/>
              <w:right w:val="single" w:sz="4" w:space="0" w:color="auto"/>
            </w:tcBorders>
            <w:shd w:val="clear" w:color="auto" w:fill="E0E0E0"/>
            <w:vAlign w:val="center"/>
          </w:tcPr>
          <w:p w14:paraId="0E839370" w14:textId="77777777" w:rsidR="002E75C2" w:rsidRPr="000F0FEE" w:rsidRDefault="002E75C2" w:rsidP="00282AA7">
            <w:pPr>
              <w:autoSpaceDE w:val="0"/>
              <w:autoSpaceDN w:val="0"/>
              <w:adjustRightInd w:val="0"/>
              <w:spacing w:after="0" w:line="320" w:lineRule="atLeast"/>
              <w:ind w:left="60" w:right="60"/>
              <w:rPr>
                <w:rFonts w:ascii="Times New Roman" w:hAnsi="Times New Roman" w:cs="Times New Roman"/>
                <w:color w:val="264A60"/>
                <w:sz w:val="24"/>
                <w:szCs w:val="24"/>
              </w:rPr>
            </w:pPr>
            <w:r w:rsidRPr="000F0FEE">
              <w:rPr>
                <w:rFonts w:ascii="Times New Roman" w:hAnsi="Times New Roman" w:cs="Times New Roman"/>
                <w:color w:val="264A60"/>
                <w:sz w:val="24"/>
                <w:szCs w:val="24"/>
              </w:rPr>
              <w:t>Sig. (bilateral)</w:t>
            </w:r>
          </w:p>
        </w:tc>
        <w:tc>
          <w:tcPr>
            <w:tcW w:w="1475" w:type="dxa"/>
            <w:tcBorders>
              <w:top w:val="single" w:sz="8" w:space="0" w:color="AEAEAE"/>
              <w:left w:val="single" w:sz="4" w:space="0" w:color="auto"/>
              <w:bottom w:val="single" w:sz="8" w:space="0" w:color="AEAEAE"/>
              <w:right w:val="single" w:sz="4" w:space="0" w:color="auto"/>
            </w:tcBorders>
            <w:shd w:val="clear" w:color="auto" w:fill="FFFFFF"/>
            <w:vAlign w:val="center"/>
          </w:tcPr>
          <w:p w14:paraId="68BBE137" w14:textId="77777777" w:rsidR="002E75C2" w:rsidRPr="000F0FEE" w:rsidRDefault="002E75C2" w:rsidP="00282AA7">
            <w:pPr>
              <w:autoSpaceDE w:val="0"/>
              <w:autoSpaceDN w:val="0"/>
              <w:adjustRightInd w:val="0"/>
              <w:spacing w:after="0" w:line="240" w:lineRule="auto"/>
              <w:jc w:val="center"/>
              <w:rPr>
                <w:rFonts w:ascii="Times New Roman" w:hAnsi="Times New Roman" w:cs="Times New Roman"/>
                <w:sz w:val="24"/>
                <w:szCs w:val="24"/>
              </w:rPr>
            </w:pPr>
          </w:p>
        </w:tc>
        <w:tc>
          <w:tcPr>
            <w:tcW w:w="1060" w:type="dxa"/>
            <w:tcBorders>
              <w:top w:val="single" w:sz="8" w:space="0" w:color="AEAEAE"/>
              <w:left w:val="single" w:sz="4" w:space="0" w:color="auto"/>
              <w:bottom w:val="single" w:sz="8" w:space="0" w:color="AEAEAE"/>
              <w:right w:val="single" w:sz="4" w:space="0" w:color="auto"/>
            </w:tcBorders>
            <w:shd w:val="clear" w:color="auto" w:fill="FFFFFF"/>
            <w:vAlign w:val="center"/>
          </w:tcPr>
          <w:p w14:paraId="0ABBD74C" w14:textId="1A5E5431" w:rsidR="002E75C2" w:rsidRPr="000F0FEE" w:rsidRDefault="002E75C2" w:rsidP="00282AA7">
            <w:pPr>
              <w:autoSpaceDE w:val="0"/>
              <w:autoSpaceDN w:val="0"/>
              <w:adjustRightInd w:val="0"/>
              <w:spacing w:after="0" w:line="320" w:lineRule="atLeast"/>
              <w:ind w:left="60" w:right="60"/>
              <w:jc w:val="center"/>
              <w:rPr>
                <w:rFonts w:ascii="Times New Roman" w:hAnsi="Times New Roman" w:cs="Times New Roman"/>
                <w:color w:val="010205"/>
                <w:sz w:val="24"/>
                <w:szCs w:val="24"/>
              </w:rPr>
            </w:pPr>
            <w:r w:rsidRPr="000F0FEE">
              <w:rPr>
                <w:rFonts w:ascii="Times New Roman" w:hAnsi="Times New Roman" w:cs="Times New Roman"/>
                <w:color w:val="010205"/>
                <w:sz w:val="24"/>
                <w:szCs w:val="24"/>
              </w:rPr>
              <w:t>,0</w:t>
            </w:r>
            <w:r w:rsidR="00361254" w:rsidRPr="000F0FEE">
              <w:rPr>
                <w:rFonts w:ascii="Times New Roman" w:hAnsi="Times New Roman" w:cs="Times New Roman"/>
                <w:color w:val="010205"/>
                <w:sz w:val="24"/>
                <w:szCs w:val="24"/>
              </w:rPr>
              <w:t>13</w:t>
            </w:r>
          </w:p>
        </w:tc>
      </w:tr>
      <w:tr w:rsidR="002E75C2" w:rsidRPr="000F0FEE" w14:paraId="1BDC35DA" w14:textId="77777777" w:rsidTr="00282AA7">
        <w:trPr>
          <w:cantSplit/>
          <w:jc w:val="center"/>
        </w:trPr>
        <w:tc>
          <w:tcPr>
            <w:tcW w:w="1985" w:type="dxa"/>
            <w:vMerge/>
            <w:tcBorders>
              <w:top w:val="single" w:sz="8" w:space="0" w:color="152935"/>
              <w:left w:val="single" w:sz="4" w:space="0" w:color="auto"/>
              <w:bottom w:val="single" w:sz="8" w:space="0" w:color="152935"/>
              <w:right w:val="single" w:sz="4" w:space="0" w:color="auto"/>
            </w:tcBorders>
            <w:shd w:val="clear" w:color="auto" w:fill="E0E0E0"/>
            <w:vAlign w:val="center"/>
          </w:tcPr>
          <w:p w14:paraId="092F5627" w14:textId="77777777" w:rsidR="002E75C2" w:rsidRPr="000F0FEE" w:rsidRDefault="002E75C2" w:rsidP="00282AA7">
            <w:pPr>
              <w:autoSpaceDE w:val="0"/>
              <w:autoSpaceDN w:val="0"/>
              <w:adjustRightInd w:val="0"/>
              <w:spacing w:after="0" w:line="240" w:lineRule="auto"/>
              <w:rPr>
                <w:rFonts w:ascii="Times New Roman" w:hAnsi="Times New Roman" w:cs="Times New Roman"/>
                <w:color w:val="010205"/>
                <w:sz w:val="24"/>
                <w:szCs w:val="24"/>
              </w:rPr>
            </w:pPr>
          </w:p>
        </w:tc>
        <w:tc>
          <w:tcPr>
            <w:tcW w:w="2197" w:type="dxa"/>
            <w:tcBorders>
              <w:top w:val="single" w:sz="8" w:space="0" w:color="AEAEAE"/>
              <w:left w:val="single" w:sz="4" w:space="0" w:color="auto"/>
              <w:bottom w:val="nil"/>
              <w:right w:val="single" w:sz="4" w:space="0" w:color="auto"/>
            </w:tcBorders>
            <w:shd w:val="clear" w:color="auto" w:fill="E0E0E0"/>
            <w:vAlign w:val="center"/>
          </w:tcPr>
          <w:p w14:paraId="7808CA64" w14:textId="77777777" w:rsidR="002E75C2" w:rsidRPr="000F0FEE" w:rsidRDefault="002E75C2" w:rsidP="00282AA7">
            <w:pPr>
              <w:autoSpaceDE w:val="0"/>
              <w:autoSpaceDN w:val="0"/>
              <w:adjustRightInd w:val="0"/>
              <w:spacing w:after="0" w:line="320" w:lineRule="atLeast"/>
              <w:ind w:left="60" w:right="60"/>
              <w:rPr>
                <w:rFonts w:ascii="Times New Roman" w:hAnsi="Times New Roman" w:cs="Times New Roman"/>
                <w:color w:val="264A60"/>
                <w:sz w:val="24"/>
                <w:szCs w:val="24"/>
              </w:rPr>
            </w:pPr>
            <w:r w:rsidRPr="000F0FEE">
              <w:rPr>
                <w:rFonts w:ascii="Times New Roman" w:hAnsi="Times New Roman" w:cs="Times New Roman"/>
                <w:color w:val="264A60"/>
                <w:sz w:val="24"/>
                <w:szCs w:val="24"/>
              </w:rPr>
              <w:t>N</w:t>
            </w:r>
          </w:p>
        </w:tc>
        <w:tc>
          <w:tcPr>
            <w:tcW w:w="1475" w:type="dxa"/>
            <w:tcBorders>
              <w:top w:val="single" w:sz="8" w:space="0" w:color="AEAEAE"/>
              <w:left w:val="single" w:sz="4" w:space="0" w:color="auto"/>
              <w:bottom w:val="nil"/>
              <w:right w:val="single" w:sz="4" w:space="0" w:color="auto"/>
            </w:tcBorders>
            <w:shd w:val="clear" w:color="auto" w:fill="FFFFFF"/>
            <w:vAlign w:val="center"/>
          </w:tcPr>
          <w:p w14:paraId="04494F53" w14:textId="591759F4" w:rsidR="002E75C2" w:rsidRPr="000F0FEE" w:rsidRDefault="00361254" w:rsidP="00282AA7">
            <w:pPr>
              <w:autoSpaceDE w:val="0"/>
              <w:autoSpaceDN w:val="0"/>
              <w:adjustRightInd w:val="0"/>
              <w:spacing w:after="0" w:line="320" w:lineRule="atLeast"/>
              <w:ind w:left="60" w:right="60"/>
              <w:jc w:val="center"/>
              <w:rPr>
                <w:rFonts w:ascii="Times New Roman" w:hAnsi="Times New Roman" w:cs="Times New Roman"/>
                <w:color w:val="010205"/>
                <w:sz w:val="24"/>
                <w:szCs w:val="24"/>
              </w:rPr>
            </w:pPr>
            <w:r w:rsidRPr="000F0FEE">
              <w:rPr>
                <w:rFonts w:ascii="Times New Roman" w:hAnsi="Times New Roman" w:cs="Times New Roman"/>
                <w:color w:val="010205"/>
                <w:sz w:val="24"/>
                <w:szCs w:val="24"/>
              </w:rPr>
              <w:t>22</w:t>
            </w:r>
          </w:p>
        </w:tc>
        <w:tc>
          <w:tcPr>
            <w:tcW w:w="1060" w:type="dxa"/>
            <w:tcBorders>
              <w:top w:val="single" w:sz="8" w:space="0" w:color="AEAEAE"/>
              <w:left w:val="single" w:sz="4" w:space="0" w:color="auto"/>
              <w:bottom w:val="nil"/>
              <w:right w:val="single" w:sz="4" w:space="0" w:color="auto"/>
            </w:tcBorders>
            <w:shd w:val="clear" w:color="auto" w:fill="FFFFFF"/>
            <w:vAlign w:val="center"/>
          </w:tcPr>
          <w:p w14:paraId="0B74D356" w14:textId="49F97A8F" w:rsidR="002E75C2" w:rsidRPr="000F0FEE" w:rsidRDefault="00361254" w:rsidP="00282AA7">
            <w:pPr>
              <w:autoSpaceDE w:val="0"/>
              <w:autoSpaceDN w:val="0"/>
              <w:adjustRightInd w:val="0"/>
              <w:spacing w:after="0" w:line="320" w:lineRule="atLeast"/>
              <w:ind w:left="60" w:right="60"/>
              <w:jc w:val="center"/>
              <w:rPr>
                <w:rFonts w:ascii="Times New Roman" w:hAnsi="Times New Roman" w:cs="Times New Roman"/>
                <w:color w:val="010205"/>
                <w:sz w:val="24"/>
                <w:szCs w:val="24"/>
              </w:rPr>
            </w:pPr>
            <w:r w:rsidRPr="000F0FEE">
              <w:rPr>
                <w:rFonts w:ascii="Times New Roman" w:hAnsi="Times New Roman" w:cs="Times New Roman"/>
                <w:color w:val="010205"/>
                <w:sz w:val="24"/>
                <w:szCs w:val="24"/>
              </w:rPr>
              <w:t>22</w:t>
            </w:r>
          </w:p>
        </w:tc>
      </w:tr>
      <w:tr w:rsidR="002E75C2" w:rsidRPr="000F0FEE" w14:paraId="5EB2C72C" w14:textId="77777777" w:rsidTr="00282AA7">
        <w:trPr>
          <w:cantSplit/>
          <w:jc w:val="center"/>
        </w:trPr>
        <w:tc>
          <w:tcPr>
            <w:tcW w:w="1985" w:type="dxa"/>
            <w:vMerge w:val="restart"/>
            <w:tcBorders>
              <w:top w:val="single" w:sz="8" w:space="0" w:color="AEAEAE"/>
              <w:left w:val="single" w:sz="4" w:space="0" w:color="auto"/>
              <w:bottom w:val="single" w:sz="8" w:space="0" w:color="152935"/>
              <w:right w:val="single" w:sz="4" w:space="0" w:color="auto"/>
            </w:tcBorders>
            <w:shd w:val="clear" w:color="auto" w:fill="E0E0E0"/>
            <w:vAlign w:val="center"/>
          </w:tcPr>
          <w:p w14:paraId="6A0ABB18" w14:textId="77777777" w:rsidR="002E75C2" w:rsidRPr="000F0FEE" w:rsidRDefault="002E75C2" w:rsidP="00282AA7">
            <w:pPr>
              <w:autoSpaceDE w:val="0"/>
              <w:autoSpaceDN w:val="0"/>
              <w:adjustRightInd w:val="0"/>
              <w:spacing w:after="0" w:line="320" w:lineRule="atLeast"/>
              <w:ind w:left="60" w:right="60"/>
              <w:rPr>
                <w:rFonts w:ascii="Times New Roman" w:hAnsi="Times New Roman" w:cs="Times New Roman"/>
                <w:color w:val="264A60"/>
                <w:sz w:val="24"/>
                <w:szCs w:val="24"/>
              </w:rPr>
            </w:pPr>
            <w:r w:rsidRPr="000F0FEE">
              <w:rPr>
                <w:rFonts w:ascii="Times New Roman" w:hAnsi="Times New Roman" w:cs="Times New Roman"/>
                <w:color w:val="264A60"/>
                <w:sz w:val="24"/>
                <w:szCs w:val="24"/>
              </w:rPr>
              <w:t>Recuperados</w:t>
            </w:r>
          </w:p>
        </w:tc>
        <w:tc>
          <w:tcPr>
            <w:tcW w:w="2197" w:type="dxa"/>
            <w:tcBorders>
              <w:top w:val="single" w:sz="8" w:space="0" w:color="AEAEAE"/>
              <w:left w:val="single" w:sz="4" w:space="0" w:color="auto"/>
              <w:bottom w:val="single" w:sz="8" w:space="0" w:color="AEAEAE"/>
              <w:right w:val="single" w:sz="4" w:space="0" w:color="auto"/>
            </w:tcBorders>
            <w:shd w:val="clear" w:color="auto" w:fill="E0E0E0"/>
            <w:vAlign w:val="center"/>
          </w:tcPr>
          <w:p w14:paraId="38B86BD3" w14:textId="77777777" w:rsidR="002E75C2" w:rsidRPr="000F0FEE" w:rsidRDefault="002E75C2" w:rsidP="00282AA7">
            <w:pPr>
              <w:autoSpaceDE w:val="0"/>
              <w:autoSpaceDN w:val="0"/>
              <w:adjustRightInd w:val="0"/>
              <w:spacing w:after="0" w:line="320" w:lineRule="atLeast"/>
              <w:ind w:left="60" w:right="60"/>
              <w:rPr>
                <w:rFonts w:ascii="Times New Roman" w:hAnsi="Times New Roman" w:cs="Times New Roman"/>
                <w:color w:val="264A60"/>
                <w:sz w:val="24"/>
                <w:szCs w:val="24"/>
              </w:rPr>
            </w:pPr>
            <w:r w:rsidRPr="000F0FEE">
              <w:rPr>
                <w:rFonts w:ascii="Times New Roman" w:hAnsi="Times New Roman" w:cs="Times New Roman"/>
                <w:color w:val="264A60"/>
                <w:sz w:val="24"/>
                <w:szCs w:val="24"/>
              </w:rPr>
              <w:t>Correlación de Pearson</w:t>
            </w:r>
          </w:p>
        </w:tc>
        <w:tc>
          <w:tcPr>
            <w:tcW w:w="1475" w:type="dxa"/>
            <w:tcBorders>
              <w:top w:val="single" w:sz="8" w:space="0" w:color="AEAEAE"/>
              <w:left w:val="single" w:sz="4" w:space="0" w:color="auto"/>
              <w:bottom w:val="single" w:sz="8" w:space="0" w:color="AEAEAE"/>
              <w:right w:val="single" w:sz="4" w:space="0" w:color="auto"/>
            </w:tcBorders>
            <w:shd w:val="clear" w:color="auto" w:fill="FFFFFF"/>
            <w:vAlign w:val="center"/>
          </w:tcPr>
          <w:p w14:paraId="160D4AE8" w14:textId="29934B58" w:rsidR="002E75C2" w:rsidRPr="000F0FEE" w:rsidRDefault="00361254" w:rsidP="00282AA7">
            <w:pPr>
              <w:autoSpaceDE w:val="0"/>
              <w:autoSpaceDN w:val="0"/>
              <w:adjustRightInd w:val="0"/>
              <w:spacing w:after="0" w:line="320" w:lineRule="atLeast"/>
              <w:ind w:left="60" w:right="60"/>
              <w:jc w:val="center"/>
              <w:rPr>
                <w:rFonts w:ascii="Times New Roman" w:hAnsi="Times New Roman" w:cs="Times New Roman"/>
                <w:color w:val="010205"/>
                <w:sz w:val="24"/>
                <w:szCs w:val="24"/>
              </w:rPr>
            </w:pPr>
            <w:r w:rsidRPr="000F0FEE">
              <w:rPr>
                <w:rFonts w:ascii="Times New Roman" w:hAnsi="Times New Roman" w:cs="Times New Roman"/>
                <w:color w:val="010205"/>
                <w:sz w:val="24"/>
                <w:szCs w:val="24"/>
              </w:rPr>
              <w:t>-,522*</w:t>
            </w:r>
          </w:p>
        </w:tc>
        <w:tc>
          <w:tcPr>
            <w:tcW w:w="1060" w:type="dxa"/>
            <w:tcBorders>
              <w:top w:val="single" w:sz="8" w:space="0" w:color="AEAEAE"/>
              <w:left w:val="single" w:sz="4" w:space="0" w:color="auto"/>
              <w:bottom w:val="single" w:sz="8" w:space="0" w:color="AEAEAE"/>
              <w:right w:val="single" w:sz="4" w:space="0" w:color="auto"/>
            </w:tcBorders>
            <w:shd w:val="clear" w:color="auto" w:fill="FFFFFF"/>
            <w:vAlign w:val="center"/>
          </w:tcPr>
          <w:p w14:paraId="16FF642D" w14:textId="77777777" w:rsidR="002E75C2" w:rsidRPr="000F0FEE" w:rsidRDefault="002E75C2" w:rsidP="00282AA7">
            <w:pPr>
              <w:autoSpaceDE w:val="0"/>
              <w:autoSpaceDN w:val="0"/>
              <w:adjustRightInd w:val="0"/>
              <w:spacing w:after="0" w:line="320" w:lineRule="atLeast"/>
              <w:ind w:left="60" w:right="60"/>
              <w:jc w:val="center"/>
              <w:rPr>
                <w:rFonts w:ascii="Times New Roman" w:hAnsi="Times New Roman" w:cs="Times New Roman"/>
                <w:color w:val="010205"/>
                <w:sz w:val="24"/>
                <w:szCs w:val="24"/>
              </w:rPr>
            </w:pPr>
            <w:r w:rsidRPr="000F0FEE">
              <w:rPr>
                <w:rFonts w:ascii="Times New Roman" w:hAnsi="Times New Roman" w:cs="Times New Roman"/>
                <w:color w:val="010205"/>
                <w:sz w:val="24"/>
                <w:szCs w:val="24"/>
              </w:rPr>
              <w:t>1</w:t>
            </w:r>
          </w:p>
        </w:tc>
      </w:tr>
      <w:tr w:rsidR="002E75C2" w:rsidRPr="000F0FEE" w14:paraId="71BEC1A8" w14:textId="77777777" w:rsidTr="00282AA7">
        <w:trPr>
          <w:cantSplit/>
          <w:jc w:val="center"/>
        </w:trPr>
        <w:tc>
          <w:tcPr>
            <w:tcW w:w="1985" w:type="dxa"/>
            <w:vMerge/>
            <w:tcBorders>
              <w:top w:val="single" w:sz="8" w:space="0" w:color="AEAEAE"/>
              <w:left w:val="single" w:sz="4" w:space="0" w:color="auto"/>
              <w:bottom w:val="single" w:sz="8" w:space="0" w:color="152935"/>
              <w:right w:val="single" w:sz="4" w:space="0" w:color="auto"/>
            </w:tcBorders>
            <w:shd w:val="clear" w:color="auto" w:fill="E0E0E0"/>
            <w:vAlign w:val="center"/>
          </w:tcPr>
          <w:p w14:paraId="0B8FBF00" w14:textId="77777777" w:rsidR="002E75C2" w:rsidRPr="000F0FEE" w:rsidRDefault="002E75C2" w:rsidP="00282AA7">
            <w:pPr>
              <w:autoSpaceDE w:val="0"/>
              <w:autoSpaceDN w:val="0"/>
              <w:adjustRightInd w:val="0"/>
              <w:spacing w:after="0" w:line="240" w:lineRule="auto"/>
              <w:rPr>
                <w:rFonts w:ascii="Times New Roman" w:hAnsi="Times New Roman" w:cs="Times New Roman"/>
                <w:color w:val="010205"/>
                <w:sz w:val="24"/>
                <w:szCs w:val="24"/>
              </w:rPr>
            </w:pPr>
          </w:p>
        </w:tc>
        <w:tc>
          <w:tcPr>
            <w:tcW w:w="2197" w:type="dxa"/>
            <w:tcBorders>
              <w:top w:val="single" w:sz="8" w:space="0" w:color="AEAEAE"/>
              <w:left w:val="single" w:sz="4" w:space="0" w:color="auto"/>
              <w:bottom w:val="single" w:sz="8" w:space="0" w:color="AEAEAE"/>
              <w:right w:val="single" w:sz="4" w:space="0" w:color="auto"/>
            </w:tcBorders>
            <w:shd w:val="clear" w:color="auto" w:fill="E0E0E0"/>
            <w:vAlign w:val="center"/>
          </w:tcPr>
          <w:p w14:paraId="249F1893" w14:textId="77777777" w:rsidR="002E75C2" w:rsidRPr="000F0FEE" w:rsidRDefault="002E75C2" w:rsidP="00282AA7">
            <w:pPr>
              <w:autoSpaceDE w:val="0"/>
              <w:autoSpaceDN w:val="0"/>
              <w:adjustRightInd w:val="0"/>
              <w:spacing w:after="0" w:line="320" w:lineRule="atLeast"/>
              <w:ind w:left="60" w:right="60"/>
              <w:rPr>
                <w:rFonts w:ascii="Times New Roman" w:hAnsi="Times New Roman" w:cs="Times New Roman"/>
                <w:color w:val="264A60"/>
                <w:sz w:val="24"/>
                <w:szCs w:val="24"/>
              </w:rPr>
            </w:pPr>
            <w:r w:rsidRPr="000F0FEE">
              <w:rPr>
                <w:rFonts w:ascii="Times New Roman" w:hAnsi="Times New Roman" w:cs="Times New Roman"/>
                <w:color w:val="264A60"/>
                <w:sz w:val="24"/>
                <w:szCs w:val="24"/>
              </w:rPr>
              <w:t>Sig. (bilateral)</w:t>
            </w:r>
          </w:p>
        </w:tc>
        <w:tc>
          <w:tcPr>
            <w:tcW w:w="1475" w:type="dxa"/>
            <w:tcBorders>
              <w:top w:val="single" w:sz="8" w:space="0" w:color="AEAEAE"/>
              <w:left w:val="single" w:sz="4" w:space="0" w:color="auto"/>
              <w:bottom w:val="single" w:sz="8" w:space="0" w:color="AEAEAE"/>
              <w:right w:val="single" w:sz="4" w:space="0" w:color="auto"/>
            </w:tcBorders>
            <w:shd w:val="clear" w:color="auto" w:fill="FFFFFF"/>
            <w:vAlign w:val="center"/>
          </w:tcPr>
          <w:p w14:paraId="067E9460" w14:textId="41DFEFE2" w:rsidR="002E75C2" w:rsidRPr="000F0FEE" w:rsidRDefault="002E75C2" w:rsidP="00282AA7">
            <w:pPr>
              <w:autoSpaceDE w:val="0"/>
              <w:autoSpaceDN w:val="0"/>
              <w:adjustRightInd w:val="0"/>
              <w:spacing w:after="0" w:line="320" w:lineRule="atLeast"/>
              <w:ind w:left="60" w:right="60"/>
              <w:jc w:val="center"/>
              <w:rPr>
                <w:rFonts w:ascii="Times New Roman" w:hAnsi="Times New Roman" w:cs="Times New Roman"/>
                <w:color w:val="010205"/>
                <w:sz w:val="24"/>
                <w:szCs w:val="24"/>
              </w:rPr>
            </w:pPr>
            <w:r w:rsidRPr="000F0FEE">
              <w:rPr>
                <w:rFonts w:ascii="Times New Roman" w:hAnsi="Times New Roman" w:cs="Times New Roman"/>
                <w:color w:val="010205"/>
                <w:sz w:val="24"/>
                <w:szCs w:val="24"/>
              </w:rPr>
              <w:t>,0</w:t>
            </w:r>
            <w:r w:rsidR="00361254" w:rsidRPr="000F0FEE">
              <w:rPr>
                <w:rFonts w:ascii="Times New Roman" w:hAnsi="Times New Roman" w:cs="Times New Roman"/>
                <w:color w:val="010205"/>
                <w:sz w:val="24"/>
                <w:szCs w:val="24"/>
              </w:rPr>
              <w:t>13</w:t>
            </w:r>
          </w:p>
        </w:tc>
        <w:tc>
          <w:tcPr>
            <w:tcW w:w="1060" w:type="dxa"/>
            <w:tcBorders>
              <w:top w:val="single" w:sz="8" w:space="0" w:color="AEAEAE"/>
              <w:left w:val="single" w:sz="4" w:space="0" w:color="auto"/>
              <w:bottom w:val="single" w:sz="8" w:space="0" w:color="AEAEAE"/>
              <w:right w:val="single" w:sz="4" w:space="0" w:color="auto"/>
            </w:tcBorders>
            <w:shd w:val="clear" w:color="auto" w:fill="FFFFFF"/>
            <w:vAlign w:val="center"/>
          </w:tcPr>
          <w:p w14:paraId="410ED99A" w14:textId="77777777" w:rsidR="002E75C2" w:rsidRPr="000F0FEE" w:rsidRDefault="002E75C2" w:rsidP="00282AA7">
            <w:pPr>
              <w:autoSpaceDE w:val="0"/>
              <w:autoSpaceDN w:val="0"/>
              <w:adjustRightInd w:val="0"/>
              <w:spacing w:after="0" w:line="240" w:lineRule="auto"/>
              <w:jc w:val="center"/>
              <w:rPr>
                <w:rFonts w:ascii="Times New Roman" w:hAnsi="Times New Roman" w:cs="Times New Roman"/>
                <w:sz w:val="24"/>
                <w:szCs w:val="24"/>
              </w:rPr>
            </w:pPr>
          </w:p>
        </w:tc>
      </w:tr>
      <w:tr w:rsidR="002E75C2" w:rsidRPr="000F0FEE" w14:paraId="74EE49B1" w14:textId="77777777" w:rsidTr="00282AA7">
        <w:trPr>
          <w:cantSplit/>
          <w:jc w:val="center"/>
        </w:trPr>
        <w:tc>
          <w:tcPr>
            <w:tcW w:w="1985" w:type="dxa"/>
            <w:vMerge/>
            <w:tcBorders>
              <w:top w:val="single" w:sz="8" w:space="0" w:color="AEAEAE"/>
              <w:left w:val="single" w:sz="4" w:space="0" w:color="auto"/>
              <w:bottom w:val="single" w:sz="4" w:space="0" w:color="auto"/>
              <w:right w:val="single" w:sz="4" w:space="0" w:color="auto"/>
            </w:tcBorders>
            <w:shd w:val="clear" w:color="auto" w:fill="E0E0E0"/>
            <w:vAlign w:val="center"/>
          </w:tcPr>
          <w:p w14:paraId="3E184CA2" w14:textId="77777777" w:rsidR="002E75C2" w:rsidRPr="000F0FEE" w:rsidRDefault="002E75C2" w:rsidP="00282AA7">
            <w:pPr>
              <w:autoSpaceDE w:val="0"/>
              <w:autoSpaceDN w:val="0"/>
              <w:adjustRightInd w:val="0"/>
              <w:spacing w:after="0" w:line="240" w:lineRule="auto"/>
              <w:rPr>
                <w:rFonts w:ascii="Times New Roman" w:hAnsi="Times New Roman" w:cs="Times New Roman"/>
                <w:sz w:val="24"/>
                <w:szCs w:val="24"/>
              </w:rPr>
            </w:pPr>
          </w:p>
        </w:tc>
        <w:tc>
          <w:tcPr>
            <w:tcW w:w="2197" w:type="dxa"/>
            <w:tcBorders>
              <w:top w:val="single" w:sz="8" w:space="0" w:color="AEAEAE"/>
              <w:left w:val="single" w:sz="4" w:space="0" w:color="auto"/>
              <w:bottom w:val="single" w:sz="4" w:space="0" w:color="auto"/>
              <w:right w:val="single" w:sz="4" w:space="0" w:color="auto"/>
            </w:tcBorders>
            <w:shd w:val="clear" w:color="auto" w:fill="E0E0E0"/>
            <w:vAlign w:val="center"/>
          </w:tcPr>
          <w:p w14:paraId="4540AD68" w14:textId="77777777" w:rsidR="002E75C2" w:rsidRPr="000F0FEE" w:rsidRDefault="002E75C2" w:rsidP="00282AA7">
            <w:pPr>
              <w:autoSpaceDE w:val="0"/>
              <w:autoSpaceDN w:val="0"/>
              <w:adjustRightInd w:val="0"/>
              <w:spacing w:after="0" w:line="320" w:lineRule="atLeast"/>
              <w:ind w:left="60" w:right="60"/>
              <w:rPr>
                <w:rFonts w:ascii="Times New Roman" w:hAnsi="Times New Roman" w:cs="Times New Roman"/>
                <w:color w:val="264A60"/>
                <w:sz w:val="24"/>
                <w:szCs w:val="24"/>
              </w:rPr>
            </w:pPr>
            <w:r w:rsidRPr="000F0FEE">
              <w:rPr>
                <w:rFonts w:ascii="Times New Roman" w:hAnsi="Times New Roman" w:cs="Times New Roman"/>
                <w:color w:val="264A60"/>
                <w:sz w:val="24"/>
                <w:szCs w:val="24"/>
              </w:rPr>
              <w:t>N</w:t>
            </w:r>
          </w:p>
        </w:tc>
        <w:tc>
          <w:tcPr>
            <w:tcW w:w="1475" w:type="dxa"/>
            <w:tcBorders>
              <w:top w:val="single" w:sz="8" w:space="0" w:color="AEAEAE"/>
              <w:left w:val="single" w:sz="4" w:space="0" w:color="auto"/>
              <w:bottom w:val="single" w:sz="4" w:space="0" w:color="auto"/>
              <w:right w:val="single" w:sz="4" w:space="0" w:color="auto"/>
            </w:tcBorders>
            <w:shd w:val="clear" w:color="auto" w:fill="FFFFFF"/>
            <w:vAlign w:val="center"/>
          </w:tcPr>
          <w:p w14:paraId="5D493E5B" w14:textId="224AF960" w:rsidR="002E75C2" w:rsidRPr="000F0FEE" w:rsidRDefault="00361254" w:rsidP="00282AA7">
            <w:pPr>
              <w:autoSpaceDE w:val="0"/>
              <w:autoSpaceDN w:val="0"/>
              <w:adjustRightInd w:val="0"/>
              <w:spacing w:after="0" w:line="320" w:lineRule="atLeast"/>
              <w:ind w:left="60" w:right="60"/>
              <w:jc w:val="center"/>
              <w:rPr>
                <w:rFonts w:ascii="Times New Roman" w:hAnsi="Times New Roman" w:cs="Times New Roman"/>
                <w:color w:val="010205"/>
                <w:sz w:val="24"/>
                <w:szCs w:val="24"/>
              </w:rPr>
            </w:pPr>
            <w:r w:rsidRPr="000F0FEE">
              <w:rPr>
                <w:rFonts w:ascii="Times New Roman" w:hAnsi="Times New Roman" w:cs="Times New Roman"/>
                <w:color w:val="010205"/>
                <w:sz w:val="24"/>
                <w:szCs w:val="24"/>
              </w:rPr>
              <w:t>22</w:t>
            </w:r>
          </w:p>
        </w:tc>
        <w:tc>
          <w:tcPr>
            <w:tcW w:w="1060" w:type="dxa"/>
            <w:tcBorders>
              <w:top w:val="single" w:sz="8" w:space="0" w:color="AEAEAE"/>
              <w:left w:val="single" w:sz="4" w:space="0" w:color="auto"/>
              <w:bottom w:val="single" w:sz="4" w:space="0" w:color="auto"/>
              <w:right w:val="single" w:sz="4" w:space="0" w:color="auto"/>
            </w:tcBorders>
            <w:shd w:val="clear" w:color="auto" w:fill="FFFFFF"/>
            <w:vAlign w:val="center"/>
          </w:tcPr>
          <w:p w14:paraId="5DE9FF26" w14:textId="3B79456F" w:rsidR="002E75C2" w:rsidRPr="000F0FEE" w:rsidRDefault="00361254" w:rsidP="00282AA7">
            <w:pPr>
              <w:autoSpaceDE w:val="0"/>
              <w:autoSpaceDN w:val="0"/>
              <w:adjustRightInd w:val="0"/>
              <w:spacing w:after="0" w:line="320" w:lineRule="atLeast"/>
              <w:ind w:left="60" w:right="60"/>
              <w:jc w:val="center"/>
              <w:rPr>
                <w:rFonts w:ascii="Times New Roman" w:hAnsi="Times New Roman" w:cs="Times New Roman"/>
                <w:color w:val="010205"/>
                <w:sz w:val="24"/>
                <w:szCs w:val="24"/>
              </w:rPr>
            </w:pPr>
            <w:r w:rsidRPr="000F0FEE">
              <w:rPr>
                <w:rFonts w:ascii="Times New Roman" w:hAnsi="Times New Roman" w:cs="Times New Roman"/>
                <w:color w:val="010205"/>
                <w:sz w:val="24"/>
                <w:szCs w:val="24"/>
              </w:rPr>
              <w:t>22</w:t>
            </w:r>
          </w:p>
        </w:tc>
      </w:tr>
      <w:tr w:rsidR="002E75C2" w:rsidRPr="000F0FEE" w14:paraId="07E405F9" w14:textId="77777777" w:rsidTr="00282AA7">
        <w:trPr>
          <w:cantSplit/>
          <w:jc w:val="center"/>
        </w:trPr>
        <w:tc>
          <w:tcPr>
            <w:tcW w:w="6717" w:type="dxa"/>
            <w:gridSpan w:val="4"/>
            <w:tcBorders>
              <w:top w:val="single" w:sz="4" w:space="0" w:color="auto"/>
              <w:left w:val="nil"/>
              <w:bottom w:val="nil"/>
              <w:right w:val="nil"/>
            </w:tcBorders>
            <w:shd w:val="clear" w:color="auto" w:fill="FFFFFF"/>
          </w:tcPr>
          <w:p w14:paraId="748DF2EC" w14:textId="6774DEBC" w:rsidR="002E75C2" w:rsidRPr="000F0FEE" w:rsidRDefault="002E75C2" w:rsidP="00282AA7">
            <w:pPr>
              <w:autoSpaceDE w:val="0"/>
              <w:autoSpaceDN w:val="0"/>
              <w:adjustRightInd w:val="0"/>
              <w:spacing w:after="0" w:line="320" w:lineRule="atLeast"/>
              <w:ind w:left="60" w:right="60"/>
              <w:rPr>
                <w:rFonts w:ascii="Times New Roman" w:hAnsi="Times New Roman" w:cs="Times New Roman"/>
                <w:color w:val="010205"/>
                <w:sz w:val="24"/>
                <w:szCs w:val="24"/>
              </w:rPr>
            </w:pPr>
            <w:r w:rsidRPr="000F0FEE">
              <w:rPr>
                <w:rFonts w:ascii="Times New Roman" w:hAnsi="Times New Roman" w:cs="Times New Roman"/>
                <w:color w:val="010205"/>
                <w:sz w:val="24"/>
                <w:szCs w:val="24"/>
              </w:rPr>
              <w:t>**. La correlación es significativa en el nivel 0,0</w:t>
            </w:r>
            <w:r w:rsidR="00EE6802" w:rsidRPr="000F0FEE">
              <w:rPr>
                <w:rFonts w:ascii="Times New Roman" w:hAnsi="Times New Roman" w:cs="Times New Roman"/>
                <w:color w:val="010205"/>
                <w:sz w:val="24"/>
                <w:szCs w:val="24"/>
              </w:rPr>
              <w:t>5</w:t>
            </w:r>
            <w:r w:rsidRPr="000F0FEE">
              <w:rPr>
                <w:rFonts w:ascii="Times New Roman" w:hAnsi="Times New Roman" w:cs="Times New Roman"/>
                <w:color w:val="010205"/>
                <w:sz w:val="24"/>
                <w:szCs w:val="24"/>
              </w:rPr>
              <w:t xml:space="preserve"> (bilateral).</w:t>
            </w:r>
            <w:r w:rsidR="00CB6257" w:rsidRPr="000F0FEE">
              <w:rPr>
                <w:rFonts w:ascii="Times New Roman" w:hAnsi="Times New Roman" w:cs="Times New Roman"/>
                <w:color w:val="010205"/>
                <w:sz w:val="24"/>
                <w:szCs w:val="24"/>
              </w:rPr>
              <w:t xml:space="preserve"> </w:t>
            </w:r>
          </w:p>
          <w:p w14:paraId="04AD5008" w14:textId="77777777" w:rsidR="002E75C2" w:rsidRPr="000F0FEE" w:rsidRDefault="002E75C2" w:rsidP="00282AA7">
            <w:pPr>
              <w:autoSpaceDE w:val="0"/>
              <w:autoSpaceDN w:val="0"/>
              <w:adjustRightInd w:val="0"/>
              <w:spacing w:after="0" w:line="320" w:lineRule="atLeast"/>
              <w:ind w:left="-993" w:right="60"/>
              <w:jc w:val="both"/>
              <w:rPr>
                <w:rFonts w:ascii="Times New Roman" w:hAnsi="Times New Roman" w:cs="Times New Roman"/>
                <w:color w:val="010205"/>
                <w:sz w:val="24"/>
                <w:szCs w:val="24"/>
              </w:rPr>
            </w:pPr>
          </w:p>
        </w:tc>
      </w:tr>
    </w:tbl>
    <w:p w14:paraId="7650F336" w14:textId="7D29AE18" w:rsidR="002E75C2" w:rsidRPr="000F0FEE" w:rsidRDefault="002E75C2" w:rsidP="002E75C2">
      <w:pPr>
        <w:autoSpaceDE w:val="0"/>
        <w:autoSpaceDN w:val="0"/>
        <w:adjustRightInd w:val="0"/>
        <w:spacing w:after="0" w:line="360" w:lineRule="auto"/>
        <w:jc w:val="both"/>
        <w:rPr>
          <w:rFonts w:ascii="Times New Roman" w:hAnsi="Times New Roman" w:cs="Times New Roman"/>
          <w:sz w:val="24"/>
          <w:szCs w:val="24"/>
        </w:rPr>
      </w:pPr>
      <w:r w:rsidRPr="000F0FEE">
        <w:rPr>
          <w:rFonts w:ascii="Times New Roman" w:hAnsi="Times New Roman" w:cs="Times New Roman"/>
          <w:sz w:val="24"/>
          <w:szCs w:val="24"/>
        </w:rPr>
        <w:t xml:space="preserve">En la </w:t>
      </w:r>
      <w:r w:rsidRPr="000F0FEE">
        <w:rPr>
          <w:rFonts w:ascii="Times New Roman" w:hAnsi="Times New Roman" w:cs="Times New Roman"/>
          <w:b/>
          <w:bCs/>
          <w:sz w:val="24"/>
          <w:szCs w:val="24"/>
        </w:rPr>
        <w:t xml:space="preserve">figura </w:t>
      </w:r>
      <w:r w:rsidR="00966626" w:rsidRPr="000F0FEE">
        <w:rPr>
          <w:rFonts w:ascii="Times New Roman" w:hAnsi="Times New Roman" w:cs="Times New Roman"/>
          <w:b/>
          <w:bCs/>
          <w:sz w:val="24"/>
          <w:szCs w:val="24"/>
        </w:rPr>
        <w:t>3</w:t>
      </w:r>
      <w:r w:rsidRPr="000F0FEE">
        <w:rPr>
          <w:rFonts w:ascii="Times New Roman" w:hAnsi="Times New Roman" w:cs="Times New Roman"/>
          <w:b/>
          <w:bCs/>
          <w:sz w:val="24"/>
          <w:szCs w:val="24"/>
        </w:rPr>
        <w:t xml:space="preserve"> </w:t>
      </w:r>
      <w:r w:rsidRPr="000F0FEE">
        <w:rPr>
          <w:rFonts w:ascii="Times New Roman" w:hAnsi="Times New Roman" w:cs="Times New Roman"/>
          <w:sz w:val="24"/>
          <w:szCs w:val="24"/>
        </w:rPr>
        <w:t xml:space="preserve">se aprecia el diagrama de correlación entre </w:t>
      </w:r>
      <w:r w:rsidR="004506C6" w:rsidRPr="000F0FEE">
        <w:rPr>
          <w:rFonts w:ascii="Times New Roman" w:hAnsi="Times New Roman" w:cs="Times New Roman"/>
          <w:sz w:val="24"/>
          <w:szCs w:val="24"/>
        </w:rPr>
        <w:t>la incidencia por COVID-19 en Colombia</w:t>
      </w:r>
      <w:r w:rsidR="004506C6" w:rsidRPr="000F0FEE">
        <w:rPr>
          <w:rFonts w:ascii="Times New Roman" w:hAnsi="Times New Roman" w:cs="Times New Roman"/>
          <w:sz w:val="24"/>
          <w:szCs w:val="24"/>
          <w:lang w:eastAsia="es-CO"/>
        </w:rPr>
        <w:t xml:space="preserve">, y el precio del </w:t>
      </w:r>
      <w:r w:rsidR="00A442A4" w:rsidRPr="000F0FEE">
        <w:rPr>
          <w:rFonts w:ascii="Times New Roman" w:hAnsi="Times New Roman" w:cs="Times New Roman"/>
          <w:sz w:val="24"/>
          <w:szCs w:val="24"/>
          <w:lang w:eastAsia="es-CO"/>
        </w:rPr>
        <w:t>p</w:t>
      </w:r>
      <w:r w:rsidR="004506C6" w:rsidRPr="000F0FEE">
        <w:rPr>
          <w:rFonts w:ascii="Times New Roman" w:hAnsi="Times New Roman" w:cs="Times New Roman"/>
          <w:sz w:val="24"/>
          <w:szCs w:val="24"/>
          <w:lang w:eastAsia="es-CO"/>
        </w:rPr>
        <w:t>etróleo Brent</w:t>
      </w:r>
      <w:r w:rsidRPr="000F0FEE">
        <w:rPr>
          <w:rFonts w:ascii="Times New Roman" w:hAnsi="Times New Roman" w:cs="Times New Roman"/>
          <w:sz w:val="24"/>
          <w:szCs w:val="24"/>
        </w:rPr>
        <w:t xml:space="preserve">. El número de datos es igual a </w:t>
      </w:r>
      <w:r w:rsidR="00653565" w:rsidRPr="000F0FEE">
        <w:rPr>
          <w:rFonts w:ascii="Times New Roman" w:hAnsi="Times New Roman" w:cs="Times New Roman"/>
          <w:sz w:val="24"/>
          <w:szCs w:val="24"/>
        </w:rPr>
        <w:t>22</w:t>
      </w:r>
      <w:r w:rsidRPr="000F0FEE">
        <w:rPr>
          <w:rFonts w:ascii="Times New Roman" w:hAnsi="Times New Roman" w:cs="Times New Roman"/>
          <w:sz w:val="24"/>
          <w:szCs w:val="24"/>
        </w:rPr>
        <w:t xml:space="preserve">; r= </w:t>
      </w:r>
      <w:r w:rsidR="00653565" w:rsidRPr="000F0FEE">
        <w:rPr>
          <w:rFonts w:ascii="Times New Roman" w:hAnsi="Times New Roman" w:cs="Times New Roman"/>
          <w:sz w:val="24"/>
          <w:szCs w:val="24"/>
        </w:rPr>
        <w:t>-</w:t>
      </w:r>
      <w:r w:rsidRPr="000F0FEE">
        <w:rPr>
          <w:rFonts w:ascii="Times New Roman" w:hAnsi="Times New Roman" w:cs="Times New Roman"/>
          <w:sz w:val="24"/>
          <w:szCs w:val="24"/>
        </w:rPr>
        <w:t>0,</w:t>
      </w:r>
      <w:r w:rsidR="00653565" w:rsidRPr="000F0FEE">
        <w:rPr>
          <w:rFonts w:ascii="Times New Roman" w:hAnsi="Times New Roman" w:cs="Times New Roman"/>
          <w:sz w:val="24"/>
          <w:szCs w:val="24"/>
        </w:rPr>
        <w:t>522</w:t>
      </w:r>
      <w:r w:rsidRPr="000F0FEE">
        <w:rPr>
          <w:rFonts w:ascii="Times New Roman" w:hAnsi="Times New Roman" w:cs="Times New Roman"/>
          <w:sz w:val="24"/>
          <w:szCs w:val="24"/>
        </w:rPr>
        <w:t>; p&lt; 0,0</w:t>
      </w:r>
      <w:r w:rsidR="00653565" w:rsidRPr="000F0FEE">
        <w:rPr>
          <w:rFonts w:ascii="Times New Roman" w:hAnsi="Times New Roman" w:cs="Times New Roman"/>
          <w:sz w:val="24"/>
          <w:szCs w:val="24"/>
        </w:rPr>
        <w:t>5</w:t>
      </w:r>
      <w:r w:rsidRPr="000F0FEE">
        <w:rPr>
          <w:rFonts w:ascii="Times New Roman" w:hAnsi="Times New Roman" w:cs="Times New Roman"/>
          <w:sz w:val="24"/>
          <w:szCs w:val="24"/>
        </w:rPr>
        <w:t>. De esta manera según el valor r=</w:t>
      </w:r>
      <w:r w:rsidR="00653565" w:rsidRPr="000F0FEE">
        <w:rPr>
          <w:rFonts w:ascii="Times New Roman" w:hAnsi="Times New Roman" w:cs="Times New Roman"/>
          <w:sz w:val="24"/>
          <w:szCs w:val="24"/>
        </w:rPr>
        <w:t>-</w:t>
      </w:r>
      <w:r w:rsidRPr="000F0FEE">
        <w:rPr>
          <w:rFonts w:ascii="Times New Roman" w:hAnsi="Times New Roman" w:cs="Times New Roman"/>
          <w:sz w:val="24"/>
          <w:szCs w:val="24"/>
        </w:rPr>
        <w:t>0,</w:t>
      </w:r>
      <w:r w:rsidR="00653565" w:rsidRPr="000F0FEE">
        <w:rPr>
          <w:rFonts w:ascii="Times New Roman" w:hAnsi="Times New Roman" w:cs="Times New Roman"/>
          <w:sz w:val="24"/>
          <w:szCs w:val="24"/>
        </w:rPr>
        <w:t>522</w:t>
      </w:r>
      <w:r w:rsidRPr="000F0FEE">
        <w:rPr>
          <w:rFonts w:ascii="Times New Roman" w:hAnsi="Times New Roman" w:cs="Times New Roman"/>
          <w:sz w:val="24"/>
          <w:szCs w:val="24"/>
        </w:rPr>
        <w:t xml:space="preserve">, se evidencia una correlación </w:t>
      </w:r>
      <w:r w:rsidR="00653565" w:rsidRPr="000F0FEE">
        <w:rPr>
          <w:rFonts w:ascii="Times New Roman" w:hAnsi="Times New Roman" w:cs="Times New Roman"/>
          <w:sz w:val="24"/>
          <w:szCs w:val="24"/>
        </w:rPr>
        <w:t>negativa</w:t>
      </w:r>
      <w:r w:rsidRPr="000F0FEE">
        <w:rPr>
          <w:rFonts w:ascii="Times New Roman" w:hAnsi="Times New Roman" w:cs="Times New Roman"/>
          <w:sz w:val="24"/>
          <w:szCs w:val="24"/>
        </w:rPr>
        <w:t xml:space="preserve"> </w:t>
      </w:r>
      <w:r w:rsidR="004506C6" w:rsidRPr="000F0FEE">
        <w:rPr>
          <w:rFonts w:ascii="Times New Roman" w:hAnsi="Times New Roman" w:cs="Times New Roman"/>
          <w:sz w:val="24"/>
          <w:szCs w:val="24"/>
        </w:rPr>
        <w:t>moderada</w:t>
      </w:r>
      <w:r w:rsidRPr="000F0FEE">
        <w:rPr>
          <w:rFonts w:ascii="Times New Roman" w:hAnsi="Times New Roman" w:cs="Times New Roman"/>
          <w:sz w:val="24"/>
          <w:szCs w:val="24"/>
        </w:rPr>
        <w:t xml:space="preserve"> entre las variables. La ecuación lineal está dada por: Y=</w:t>
      </w:r>
      <w:r w:rsidR="00453AE8" w:rsidRPr="000F0FEE">
        <w:rPr>
          <w:rFonts w:ascii="Times New Roman" w:hAnsi="Times New Roman" w:cs="Times New Roman"/>
          <w:sz w:val="24"/>
          <w:szCs w:val="24"/>
        </w:rPr>
        <w:t>-12,7X + 91,24</w:t>
      </w:r>
      <w:r w:rsidRPr="000F0FEE">
        <w:rPr>
          <w:rFonts w:ascii="Times New Roman" w:hAnsi="Times New Roman" w:cs="Times New Roman"/>
          <w:sz w:val="24"/>
          <w:szCs w:val="24"/>
        </w:rPr>
        <w:t xml:space="preserve">. Lo que se traduce </w:t>
      </w:r>
      <w:r w:rsidR="004506C6" w:rsidRPr="000F0FEE">
        <w:rPr>
          <w:rFonts w:ascii="Times New Roman" w:hAnsi="Times New Roman" w:cs="Times New Roman"/>
          <w:sz w:val="24"/>
          <w:szCs w:val="24"/>
        </w:rPr>
        <w:t xml:space="preserve">de forma general </w:t>
      </w:r>
      <w:r w:rsidRPr="000F0FEE">
        <w:rPr>
          <w:rFonts w:ascii="Times New Roman" w:hAnsi="Times New Roman" w:cs="Times New Roman"/>
          <w:sz w:val="24"/>
          <w:szCs w:val="24"/>
        </w:rPr>
        <w:t xml:space="preserve">que en la medida que </w:t>
      </w:r>
      <w:r w:rsidR="004506C6" w:rsidRPr="000F0FEE">
        <w:rPr>
          <w:rFonts w:ascii="Times New Roman" w:hAnsi="Times New Roman" w:cs="Times New Roman"/>
          <w:sz w:val="24"/>
          <w:szCs w:val="24"/>
        </w:rPr>
        <w:t>disminuyen</w:t>
      </w:r>
      <w:r w:rsidRPr="000F0FEE">
        <w:rPr>
          <w:rFonts w:ascii="Times New Roman" w:hAnsi="Times New Roman" w:cs="Times New Roman"/>
          <w:sz w:val="24"/>
          <w:szCs w:val="24"/>
        </w:rPr>
        <w:t xml:space="preserve"> los valores de </w:t>
      </w:r>
      <w:r w:rsidR="004506C6" w:rsidRPr="000F0FEE">
        <w:rPr>
          <w:rFonts w:ascii="Times New Roman" w:hAnsi="Times New Roman" w:cs="Times New Roman"/>
          <w:sz w:val="24"/>
          <w:szCs w:val="24"/>
        </w:rPr>
        <w:t>la incidencia por COVID-19,</w:t>
      </w:r>
      <w:r w:rsidRPr="000F0FEE">
        <w:rPr>
          <w:rFonts w:ascii="Times New Roman" w:hAnsi="Times New Roman" w:cs="Times New Roman"/>
          <w:sz w:val="24"/>
          <w:szCs w:val="24"/>
        </w:rPr>
        <w:t xml:space="preserve"> </w:t>
      </w:r>
      <w:r w:rsidR="004506C6" w:rsidRPr="000F0FEE">
        <w:rPr>
          <w:rFonts w:ascii="Times New Roman" w:hAnsi="Times New Roman" w:cs="Times New Roman"/>
          <w:sz w:val="24"/>
          <w:szCs w:val="24"/>
        </w:rPr>
        <w:t>el precio del petróleo Brent aumenta.</w:t>
      </w:r>
    </w:p>
    <w:p w14:paraId="51B0CD79" w14:textId="0E0F0ABB" w:rsidR="00B30164" w:rsidRPr="000F0FEE" w:rsidRDefault="00DE24DC" w:rsidP="00B30164">
      <w:pPr>
        <w:autoSpaceDE w:val="0"/>
        <w:autoSpaceDN w:val="0"/>
        <w:adjustRightInd w:val="0"/>
        <w:spacing w:after="0" w:line="240" w:lineRule="auto"/>
        <w:rPr>
          <w:rFonts w:ascii="Times New Roman" w:hAnsi="Times New Roman" w:cs="Times New Roman"/>
          <w:sz w:val="24"/>
          <w:szCs w:val="24"/>
        </w:rPr>
      </w:pPr>
      <w:r w:rsidRPr="000F0FEE">
        <w:rPr>
          <w:rFonts w:ascii="Times New Roman" w:hAnsi="Times New Roman" w:cs="Times New Roman"/>
          <w:noProof/>
          <w:sz w:val="24"/>
          <w:szCs w:val="24"/>
        </w:rPr>
        <w:drawing>
          <wp:inline distT="0" distB="0" distL="0" distR="0" wp14:anchorId="721B6632" wp14:editId="553B23D0">
            <wp:extent cx="5612130" cy="3714750"/>
            <wp:effectExtent l="0" t="0" r="7620" b="0"/>
            <wp:docPr id="1" name="Imagen 1" descr="Gráfico, Gráfico de dispers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Gráfico, Gráfico de dispersión&#10;&#10;Descripción generada automáticamente"/>
                    <pic:cNvPicPr/>
                  </pic:nvPicPr>
                  <pic:blipFill>
                    <a:blip r:embed="rId7"/>
                    <a:stretch>
                      <a:fillRect/>
                    </a:stretch>
                  </pic:blipFill>
                  <pic:spPr>
                    <a:xfrm>
                      <a:off x="0" y="0"/>
                      <a:ext cx="5612130" cy="3714750"/>
                    </a:xfrm>
                    <a:prstGeom prst="rect">
                      <a:avLst/>
                    </a:prstGeom>
                  </pic:spPr>
                </pic:pic>
              </a:graphicData>
            </a:graphic>
          </wp:inline>
        </w:drawing>
      </w:r>
    </w:p>
    <w:p w14:paraId="06C775B3" w14:textId="438F8A23" w:rsidR="00B30164" w:rsidRPr="000F0FEE" w:rsidRDefault="00DE24DC" w:rsidP="00B30164">
      <w:pPr>
        <w:autoSpaceDE w:val="0"/>
        <w:autoSpaceDN w:val="0"/>
        <w:adjustRightInd w:val="0"/>
        <w:spacing w:after="0" w:line="240" w:lineRule="auto"/>
        <w:rPr>
          <w:rFonts w:ascii="Times New Roman" w:hAnsi="Times New Roman" w:cs="Times New Roman"/>
          <w:sz w:val="24"/>
          <w:szCs w:val="24"/>
        </w:rPr>
      </w:pPr>
      <w:r w:rsidRPr="000F0FEE">
        <w:rPr>
          <w:rFonts w:ascii="Times New Roman" w:hAnsi="Times New Roman" w:cs="Times New Roman"/>
          <w:b/>
          <w:bCs/>
          <w:sz w:val="24"/>
          <w:szCs w:val="24"/>
        </w:rPr>
        <w:t xml:space="preserve">Figura </w:t>
      </w:r>
      <w:r w:rsidR="00966626" w:rsidRPr="000F0FEE">
        <w:rPr>
          <w:rFonts w:ascii="Times New Roman" w:hAnsi="Times New Roman" w:cs="Times New Roman"/>
          <w:b/>
          <w:bCs/>
          <w:sz w:val="24"/>
          <w:szCs w:val="24"/>
        </w:rPr>
        <w:t>3</w:t>
      </w:r>
      <w:r w:rsidRPr="000F0FEE">
        <w:rPr>
          <w:rFonts w:ascii="Times New Roman" w:hAnsi="Times New Roman" w:cs="Times New Roman"/>
          <w:b/>
          <w:bCs/>
          <w:sz w:val="24"/>
          <w:szCs w:val="24"/>
        </w:rPr>
        <w:t xml:space="preserve">. </w:t>
      </w:r>
      <w:r w:rsidRPr="000F0FEE">
        <w:rPr>
          <w:rFonts w:ascii="Times New Roman" w:hAnsi="Times New Roman" w:cs="Times New Roman"/>
          <w:sz w:val="24"/>
          <w:szCs w:val="24"/>
        </w:rPr>
        <w:t>Diagrama de correlación para incidencia por COVID-19 y petróleo Brent</w:t>
      </w:r>
      <w:r w:rsidRPr="000F0FEE">
        <w:rPr>
          <w:rFonts w:ascii="Times New Roman" w:hAnsi="Times New Roman" w:cs="Times New Roman"/>
          <w:b/>
          <w:bCs/>
          <w:sz w:val="24"/>
          <w:szCs w:val="24"/>
        </w:rPr>
        <w:t>. Fuente</w:t>
      </w:r>
      <w:r w:rsidRPr="000F0FEE">
        <w:rPr>
          <w:rFonts w:ascii="Times New Roman" w:hAnsi="Times New Roman" w:cs="Times New Roman"/>
          <w:sz w:val="24"/>
          <w:szCs w:val="24"/>
        </w:rPr>
        <w:t>: el autor</w:t>
      </w:r>
    </w:p>
    <w:p w14:paraId="696873CC" w14:textId="672F557D" w:rsidR="008E0FCE" w:rsidRPr="000F0FEE" w:rsidRDefault="008E0FCE" w:rsidP="00B30164">
      <w:pPr>
        <w:autoSpaceDE w:val="0"/>
        <w:autoSpaceDN w:val="0"/>
        <w:adjustRightInd w:val="0"/>
        <w:spacing w:after="0" w:line="240" w:lineRule="auto"/>
        <w:rPr>
          <w:rFonts w:ascii="Times New Roman" w:hAnsi="Times New Roman" w:cs="Times New Roman"/>
          <w:sz w:val="24"/>
          <w:szCs w:val="24"/>
        </w:rPr>
      </w:pPr>
    </w:p>
    <w:p w14:paraId="1DEF8A55" w14:textId="58D9D80D" w:rsidR="008E0FCE" w:rsidRPr="000F0FEE" w:rsidRDefault="008E0FCE" w:rsidP="00B30164">
      <w:pPr>
        <w:autoSpaceDE w:val="0"/>
        <w:autoSpaceDN w:val="0"/>
        <w:adjustRightInd w:val="0"/>
        <w:spacing w:after="0" w:line="240" w:lineRule="auto"/>
        <w:rPr>
          <w:rFonts w:ascii="Times New Roman" w:hAnsi="Times New Roman" w:cs="Times New Roman"/>
          <w:sz w:val="24"/>
          <w:szCs w:val="24"/>
        </w:rPr>
      </w:pPr>
    </w:p>
    <w:p w14:paraId="38423D5F" w14:textId="60392666" w:rsidR="00B54771" w:rsidRPr="000F0FEE" w:rsidRDefault="00B54771" w:rsidP="00B30164">
      <w:pPr>
        <w:autoSpaceDE w:val="0"/>
        <w:autoSpaceDN w:val="0"/>
        <w:adjustRightInd w:val="0"/>
        <w:spacing w:after="0" w:line="240" w:lineRule="auto"/>
        <w:rPr>
          <w:rFonts w:ascii="Times New Roman" w:hAnsi="Times New Roman" w:cs="Times New Roman"/>
          <w:sz w:val="24"/>
          <w:szCs w:val="24"/>
        </w:rPr>
      </w:pPr>
    </w:p>
    <w:p w14:paraId="0B82FC70" w14:textId="3B1AFEF3" w:rsidR="00B54771" w:rsidRPr="000F0FEE" w:rsidRDefault="00B54771" w:rsidP="00B30164">
      <w:pPr>
        <w:autoSpaceDE w:val="0"/>
        <w:autoSpaceDN w:val="0"/>
        <w:adjustRightInd w:val="0"/>
        <w:spacing w:after="0" w:line="240" w:lineRule="auto"/>
        <w:rPr>
          <w:rFonts w:ascii="Times New Roman" w:hAnsi="Times New Roman" w:cs="Times New Roman"/>
          <w:sz w:val="24"/>
          <w:szCs w:val="24"/>
        </w:rPr>
      </w:pPr>
    </w:p>
    <w:p w14:paraId="15B374D7" w14:textId="2096174D" w:rsidR="00B54771" w:rsidRPr="000F0FEE" w:rsidRDefault="00B54771" w:rsidP="00B30164">
      <w:pPr>
        <w:autoSpaceDE w:val="0"/>
        <w:autoSpaceDN w:val="0"/>
        <w:adjustRightInd w:val="0"/>
        <w:spacing w:after="0" w:line="240" w:lineRule="auto"/>
        <w:rPr>
          <w:rFonts w:ascii="Times New Roman" w:hAnsi="Times New Roman" w:cs="Times New Roman"/>
          <w:sz w:val="24"/>
          <w:szCs w:val="24"/>
        </w:rPr>
      </w:pPr>
    </w:p>
    <w:p w14:paraId="3908AB7B" w14:textId="1CA7649A" w:rsidR="00B54771" w:rsidRPr="000F0FEE" w:rsidRDefault="00B54771" w:rsidP="00B30164">
      <w:pPr>
        <w:autoSpaceDE w:val="0"/>
        <w:autoSpaceDN w:val="0"/>
        <w:adjustRightInd w:val="0"/>
        <w:spacing w:after="0" w:line="240" w:lineRule="auto"/>
        <w:rPr>
          <w:rFonts w:ascii="Times New Roman" w:hAnsi="Times New Roman" w:cs="Times New Roman"/>
          <w:sz w:val="24"/>
          <w:szCs w:val="24"/>
        </w:rPr>
      </w:pPr>
    </w:p>
    <w:p w14:paraId="5CCB3665" w14:textId="08D3CF68" w:rsidR="00B54771" w:rsidRPr="000F0FEE" w:rsidRDefault="00B54771" w:rsidP="00B30164">
      <w:pPr>
        <w:autoSpaceDE w:val="0"/>
        <w:autoSpaceDN w:val="0"/>
        <w:adjustRightInd w:val="0"/>
        <w:spacing w:after="0" w:line="240" w:lineRule="auto"/>
        <w:rPr>
          <w:rFonts w:ascii="Times New Roman" w:hAnsi="Times New Roman" w:cs="Times New Roman"/>
          <w:sz w:val="24"/>
          <w:szCs w:val="24"/>
        </w:rPr>
      </w:pPr>
    </w:p>
    <w:p w14:paraId="40C87A16" w14:textId="66006566" w:rsidR="00A92B0C" w:rsidRPr="000F0FEE" w:rsidRDefault="00A92B0C" w:rsidP="00B30164">
      <w:pPr>
        <w:autoSpaceDE w:val="0"/>
        <w:autoSpaceDN w:val="0"/>
        <w:adjustRightInd w:val="0"/>
        <w:spacing w:after="0" w:line="240" w:lineRule="auto"/>
        <w:rPr>
          <w:rFonts w:ascii="Times New Roman" w:hAnsi="Times New Roman" w:cs="Times New Roman"/>
          <w:sz w:val="24"/>
          <w:szCs w:val="24"/>
        </w:rPr>
      </w:pPr>
    </w:p>
    <w:p w14:paraId="383ED7DE" w14:textId="5DEC2302" w:rsidR="00A92B0C" w:rsidRPr="000F0FEE" w:rsidRDefault="00A92B0C" w:rsidP="00B30164">
      <w:pPr>
        <w:autoSpaceDE w:val="0"/>
        <w:autoSpaceDN w:val="0"/>
        <w:adjustRightInd w:val="0"/>
        <w:spacing w:after="0" w:line="240" w:lineRule="auto"/>
        <w:rPr>
          <w:rFonts w:ascii="Times New Roman" w:hAnsi="Times New Roman" w:cs="Times New Roman"/>
          <w:sz w:val="24"/>
          <w:szCs w:val="24"/>
        </w:rPr>
      </w:pPr>
    </w:p>
    <w:p w14:paraId="4707E8E1" w14:textId="77777777" w:rsidR="00A92B0C" w:rsidRPr="000F0FEE" w:rsidRDefault="00A92B0C" w:rsidP="00B30164">
      <w:pPr>
        <w:autoSpaceDE w:val="0"/>
        <w:autoSpaceDN w:val="0"/>
        <w:adjustRightInd w:val="0"/>
        <w:spacing w:after="0" w:line="240" w:lineRule="auto"/>
        <w:rPr>
          <w:rFonts w:ascii="Times New Roman" w:hAnsi="Times New Roman" w:cs="Times New Roman"/>
          <w:sz w:val="24"/>
          <w:szCs w:val="24"/>
        </w:rPr>
      </w:pPr>
    </w:p>
    <w:p w14:paraId="0C9C7FD3" w14:textId="77777777" w:rsidR="008E0FCE" w:rsidRPr="000F0FEE" w:rsidRDefault="008E0FCE" w:rsidP="00B30164">
      <w:pPr>
        <w:autoSpaceDE w:val="0"/>
        <w:autoSpaceDN w:val="0"/>
        <w:adjustRightInd w:val="0"/>
        <w:spacing w:after="0" w:line="240" w:lineRule="auto"/>
        <w:rPr>
          <w:rFonts w:ascii="Times New Roman" w:hAnsi="Times New Roman" w:cs="Times New Roman"/>
          <w:sz w:val="24"/>
          <w:szCs w:val="24"/>
        </w:rPr>
      </w:pPr>
    </w:p>
    <w:p w14:paraId="4F978785" w14:textId="6AE08130" w:rsidR="002E75C2" w:rsidRPr="000F0FEE" w:rsidRDefault="000630D6" w:rsidP="002E75C2">
      <w:pPr>
        <w:pStyle w:val="Ttulo2"/>
        <w:spacing w:line="480" w:lineRule="auto"/>
        <w:rPr>
          <w:rFonts w:ascii="Times New Roman" w:hAnsi="Times New Roman" w:cs="Times New Roman"/>
          <w:b/>
          <w:bCs/>
          <w:color w:val="auto"/>
          <w:sz w:val="24"/>
          <w:szCs w:val="24"/>
        </w:rPr>
      </w:pPr>
      <w:r w:rsidRPr="000F0FEE">
        <w:rPr>
          <w:rFonts w:ascii="Times New Roman" w:hAnsi="Times New Roman" w:cs="Times New Roman"/>
          <w:b/>
          <w:bCs/>
          <w:color w:val="auto"/>
          <w:sz w:val="24"/>
          <w:szCs w:val="24"/>
        </w:rPr>
        <w:t xml:space="preserve">5. </w:t>
      </w:r>
      <w:r w:rsidR="001B5009" w:rsidRPr="000F0FEE">
        <w:rPr>
          <w:rFonts w:ascii="Times New Roman" w:hAnsi="Times New Roman" w:cs="Times New Roman"/>
          <w:b/>
          <w:bCs/>
          <w:color w:val="auto"/>
          <w:sz w:val="24"/>
          <w:szCs w:val="24"/>
        </w:rPr>
        <w:t xml:space="preserve">DISCUSIÓN Y </w:t>
      </w:r>
      <w:r w:rsidRPr="000F0FEE">
        <w:rPr>
          <w:rFonts w:ascii="Times New Roman" w:hAnsi="Times New Roman" w:cs="Times New Roman"/>
          <w:b/>
          <w:bCs/>
          <w:color w:val="auto"/>
          <w:sz w:val="24"/>
          <w:szCs w:val="24"/>
        </w:rPr>
        <w:t xml:space="preserve">CONCLUSIONES </w:t>
      </w:r>
    </w:p>
    <w:p w14:paraId="0336CBE4" w14:textId="5EB96F49" w:rsidR="002E75C2" w:rsidRPr="000F0FEE" w:rsidRDefault="002E75C2" w:rsidP="002E75C2">
      <w:pPr>
        <w:autoSpaceDE w:val="0"/>
        <w:autoSpaceDN w:val="0"/>
        <w:adjustRightInd w:val="0"/>
        <w:spacing w:after="0" w:line="360" w:lineRule="auto"/>
        <w:jc w:val="both"/>
        <w:rPr>
          <w:rFonts w:ascii="Times New Roman" w:hAnsi="Times New Roman" w:cs="Times New Roman"/>
          <w:sz w:val="24"/>
          <w:szCs w:val="24"/>
        </w:rPr>
      </w:pPr>
      <w:r w:rsidRPr="000F0FEE">
        <w:rPr>
          <w:rFonts w:ascii="Times New Roman" w:hAnsi="Times New Roman" w:cs="Times New Roman"/>
          <w:sz w:val="24"/>
          <w:szCs w:val="24"/>
        </w:rPr>
        <w:t xml:space="preserve">A partir de los datos analizados, </w:t>
      </w:r>
      <w:r w:rsidR="00672B17" w:rsidRPr="000F0FEE">
        <w:rPr>
          <w:rFonts w:ascii="Times New Roman" w:hAnsi="Times New Roman" w:cs="Times New Roman"/>
          <w:sz w:val="24"/>
          <w:szCs w:val="24"/>
        </w:rPr>
        <w:t xml:space="preserve">podemos afirmar que para el año 2020 el efecto de la pandemia por COVID-19, afectó de manera significativa el precio del petróleo Brent con un promedio de US $ </w:t>
      </w:r>
      <w:r w:rsidR="00750D07" w:rsidRPr="000F0FEE">
        <w:rPr>
          <w:rFonts w:ascii="Times New Roman" w:hAnsi="Times New Roman" w:cs="Times New Roman"/>
          <w:sz w:val="24"/>
          <w:szCs w:val="24"/>
        </w:rPr>
        <w:t>39,55 el barril, ya para el año 2021, las expectativas mejoraron hasta alcanzar en promedio los US $ 70,79 el barril, evidenciando un aumento del 78,98%.</w:t>
      </w:r>
    </w:p>
    <w:p w14:paraId="761012FF" w14:textId="55C0163C" w:rsidR="00D538F9" w:rsidRPr="000F0FEE" w:rsidRDefault="00631CA7" w:rsidP="00A64C3D">
      <w:pPr>
        <w:spacing w:line="360" w:lineRule="auto"/>
        <w:jc w:val="both"/>
        <w:rPr>
          <w:rFonts w:ascii="Times New Roman" w:hAnsi="Times New Roman" w:cs="Times New Roman"/>
          <w:sz w:val="24"/>
          <w:szCs w:val="24"/>
        </w:rPr>
      </w:pPr>
      <w:r w:rsidRPr="000F0FEE">
        <w:rPr>
          <w:rFonts w:ascii="Times New Roman" w:hAnsi="Times New Roman" w:cs="Times New Roman"/>
          <w:sz w:val="24"/>
          <w:szCs w:val="24"/>
          <w:shd w:val="clear" w:color="auto" w:fill="FFFFFF"/>
        </w:rPr>
        <w:t>Ahora, l</w:t>
      </w:r>
      <w:r w:rsidR="00A64C3D" w:rsidRPr="000F0FEE">
        <w:rPr>
          <w:rFonts w:ascii="Times New Roman" w:hAnsi="Times New Roman" w:cs="Times New Roman"/>
          <w:sz w:val="24"/>
          <w:szCs w:val="24"/>
          <w:shd w:val="clear" w:color="auto" w:fill="FFFFFF"/>
        </w:rPr>
        <w:t xml:space="preserve">a crisis de los precios del petróleo </w:t>
      </w:r>
      <w:r w:rsidR="00352642" w:rsidRPr="000F0FEE">
        <w:rPr>
          <w:rFonts w:ascii="Times New Roman" w:hAnsi="Times New Roman" w:cs="Times New Roman"/>
          <w:sz w:val="24"/>
          <w:szCs w:val="24"/>
          <w:shd w:val="clear" w:color="auto" w:fill="FFFFFF"/>
        </w:rPr>
        <w:t>ocasionad</w:t>
      </w:r>
      <w:r w:rsidR="00A64C3D" w:rsidRPr="000F0FEE">
        <w:rPr>
          <w:rFonts w:ascii="Times New Roman" w:hAnsi="Times New Roman" w:cs="Times New Roman"/>
          <w:sz w:val="24"/>
          <w:szCs w:val="24"/>
          <w:shd w:val="clear" w:color="auto" w:fill="FFFFFF"/>
        </w:rPr>
        <w:t xml:space="preserve">a en parte por el brote del COVID-19 tiene </w:t>
      </w:r>
      <w:r w:rsidR="00352642" w:rsidRPr="000F0FEE">
        <w:rPr>
          <w:rFonts w:ascii="Times New Roman" w:hAnsi="Times New Roman" w:cs="Times New Roman"/>
          <w:sz w:val="24"/>
          <w:szCs w:val="24"/>
          <w:shd w:val="clear" w:color="auto" w:fill="FFFFFF"/>
        </w:rPr>
        <w:t>consecuencias</w:t>
      </w:r>
      <w:r w:rsidR="00A64C3D" w:rsidRPr="000F0FEE">
        <w:rPr>
          <w:rFonts w:ascii="Times New Roman" w:hAnsi="Times New Roman" w:cs="Times New Roman"/>
          <w:sz w:val="24"/>
          <w:szCs w:val="24"/>
          <w:shd w:val="clear" w:color="auto" w:fill="FFFFFF"/>
        </w:rPr>
        <w:t xml:space="preserve"> </w:t>
      </w:r>
      <w:r w:rsidR="00352642" w:rsidRPr="000F0FEE">
        <w:rPr>
          <w:rFonts w:ascii="Times New Roman" w:hAnsi="Times New Roman" w:cs="Times New Roman"/>
          <w:sz w:val="24"/>
          <w:szCs w:val="24"/>
          <w:shd w:val="clear" w:color="auto" w:fill="FFFFFF"/>
        </w:rPr>
        <w:t>radicales</w:t>
      </w:r>
      <w:r w:rsidR="00A64C3D" w:rsidRPr="000F0FEE">
        <w:rPr>
          <w:rFonts w:ascii="Times New Roman" w:hAnsi="Times New Roman" w:cs="Times New Roman"/>
          <w:sz w:val="24"/>
          <w:szCs w:val="24"/>
          <w:shd w:val="clear" w:color="auto" w:fill="FFFFFF"/>
        </w:rPr>
        <w:t xml:space="preserve"> en los flujos de ingresos e inversión de los países de la región</w:t>
      </w:r>
      <w:r w:rsidR="00352642" w:rsidRPr="000F0FEE">
        <w:rPr>
          <w:rFonts w:ascii="Times New Roman" w:hAnsi="Times New Roman" w:cs="Times New Roman"/>
          <w:sz w:val="24"/>
          <w:szCs w:val="24"/>
          <w:shd w:val="clear" w:color="auto" w:fill="FFFFFF"/>
        </w:rPr>
        <w:t xml:space="preserve"> de América Latina</w:t>
      </w:r>
      <w:r w:rsidR="00A64C3D" w:rsidRPr="000F0FEE">
        <w:rPr>
          <w:rFonts w:ascii="Times New Roman" w:hAnsi="Times New Roman" w:cs="Times New Roman"/>
          <w:sz w:val="24"/>
          <w:szCs w:val="24"/>
          <w:shd w:val="clear" w:color="auto" w:fill="FFFFFF"/>
        </w:rPr>
        <w:t xml:space="preserve"> ricos en recursos naturales no-renovables </w:t>
      </w:r>
      <w:r w:rsidR="00352642" w:rsidRPr="000F0FEE">
        <w:rPr>
          <w:rFonts w:ascii="Times New Roman" w:hAnsi="Times New Roman" w:cs="Times New Roman"/>
          <w:sz w:val="24"/>
          <w:szCs w:val="24"/>
          <w:shd w:val="clear" w:color="auto" w:fill="FFFFFF"/>
        </w:rPr>
        <w:t>e</w:t>
      </w:r>
      <w:r w:rsidR="00A64C3D" w:rsidRPr="000F0FEE">
        <w:rPr>
          <w:rFonts w:ascii="Times New Roman" w:hAnsi="Times New Roman" w:cs="Times New Roman"/>
          <w:sz w:val="24"/>
          <w:szCs w:val="24"/>
          <w:shd w:val="clear" w:color="auto" w:fill="FFFFFF"/>
        </w:rPr>
        <w:t xml:space="preserve"> </w:t>
      </w:r>
      <w:r w:rsidR="00352642" w:rsidRPr="000F0FEE">
        <w:rPr>
          <w:rFonts w:ascii="Times New Roman" w:hAnsi="Times New Roman" w:cs="Times New Roman"/>
          <w:sz w:val="24"/>
          <w:szCs w:val="24"/>
          <w:shd w:val="clear" w:color="auto" w:fill="FFFFFF"/>
        </w:rPr>
        <w:t>inquieta</w:t>
      </w:r>
      <w:r w:rsidR="00A64C3D" w:rsidRPr="000F0FEE">
        <w:rPr>
          <w:rFonts w:ascii="Times New Roman" w:hAnsi="Times New Roman" w:cs="Times New Roman"/>
          <w:sz w:val="24"/>
          <w:szCs w:val="24"/>
          <w:shd w:val="clear" w:color="auto" w:fill="FFFFFF"/>
        </w:rPr>
        <w:t xml:space="preserve"> de manera inmediata a los ingresos fiscales provenientes de estos recursos.</w:t>
      </w:r>
      <w:bookmarkStart w:id="1" w:name="_ftnref1"/>
      <w:r w:rsidR="00A64C3D" w:rsidRPr="000F0FEE">
        <w:rPr>
          <w:rFonts w:ascii="Times New Roman" w:hAnsi="Times New Roman" w:cs="Times New Roman"/>
          <w:sz w:val="24"/>
          <w:szCs w:val="24"/>
          <w:shd w:val="clear" w:color="auto" w:fill="FFFFFF"/>
        </w:rPr>
        <w:t xml:space="preserve"> (Balza, et al, 2020)</w:t>
      </w:r>
      <w:bookmarkEnd w:id="1"/>
      <w:r w:rsidR="00A64C3D" w:rsidRPr="000F0FEE">
        <w:rPr>
          <w:rFonts w:ascii="Times New Roman" w:hAnsi="Times New Roman" w:cs="Times New Roman"/>
          <w:sz w:val="24"/>
          <w:szCs w:val="24"/>
        </w:rPr>
        <w:t xml:space="preserve"> </w:t>
      </w:r>
    </w:p>
    <w:p w14:paraId="790EE63C" w14:textId="28E6E905" w:rsidR="00A64C3D" w:rsidRPr="000F0FEE" w:rsidRDefault="00F47A62" w:rsidP="00A64C3D">
      <w:pPr>
        <w:spacing w:line="360" w:lineRule="auto"/>
        <w:jc w:val="both"/>
        <w:rPr>
          <w:rFonts w:ascii="Times New Roman" w:hAnsi="Times New Roman" w:cs="Times New Roman"/>
          <w:sz w:val="24"/>
          <w:szCs w:val="24"/>
          <w:shd w:val="clear" w:color="auto" w:fill="FFFFFF"/>
        </w:rPr>
      </w:pPr>
      <w:r w:rsidRPr="000F0FEE">
        <w:rPr>
          <w:rFonts w:ascii="Times New Roman" w:hAnsi="Times New Roman" w:cs="Times New Roman"/>
          <w:sz w:val="24"/>
          <w:szCs w:val="24"/>
          <w:shd w:val="clear" w:color="auto" w:fill="FFFFFF"/>
        </w:rPr>
        <w:t xml:space="preserve">De otro modo, </w:t>
      </w:r>
      <w:r w:rsidR="00D0374A" w:rsidRPr="000F0FEE">
        <w:rPr>
          <w:rFonts w:ascii="Times New Roman" w:hAnsi="Times New Roman" w:cs="Times New Roman"/>
          <w:sz w:val="24"/>
          <w:szCs w:val="24"/>
          <w:shd w:val="clear" w:color="auto" w:fill="FFFFFF"/>
        </w:rPr>
        <w:t>se ha presentado una</w:t>
      </w:r>
      <w:r w:rsidR="00A64C3D" w:rsidRPr="000F0FEE">
        <w:rPr>
          <w:rFonts w:ascii="Times New Roman" w:hAnsi="Times New Roman" w:cs="Times New Roman"/>
          <w:sz w:val="24"/>
          <w:szCs w:val="24"/>
          <w:shd w:val="clear" w:color="auto" w:fill="FFFFFF"/>
        </w:rPr>
        <w:t xml:space="preserve"> caída en la demanda </w:t>
      </w:r>
      <w:r w:rsidR="00744337" w:rsidRPr="000F0FEE">
        <w:rPr>
          <w:rFonts w:ascii="Times New Roman" w:hAnsi="Times New Roman" w:cs="Times New Roman"/>
          <w:sz w:val="24"/>
          <w:szCs w:val="24"/>
          <w:shd w:val="clear" w:color="auto" w:fill="FFFFFF"/>
        </w:rPr>
        <w:t xml:space="preserve">manifestada </w:t>
      </w:r>
      <w:r w:rsidR="00185AE6" w:rsidRPr="000F0FEE">
        <w:rPr>
          <w:rFonts w:ascii="Times New Roman" w:hAnsi="Times New Roman" w:cs="Times New Roman"/>
          <w:sz w:val="24"/>
          <w:szCs w:val="24"/>
          <w:shd w:val="clear" w:color="auto" w:fill="FFFFFF"/>
        </w:rPr>
        <w:t>principalmente</w:t>
      </w:r>
      <w:r w:rsidR="00A64C3D" w:rsidRPr="000F0FEE">
        <w:rPr>
          <w:rFonts w:ascii="Times New Roman" w:hAnsi="Times New Roman" w:cs="Times New Roman"/>
          <w:sz w:val="24"/>
          <w:szCs w:val="24"/>
          <w:shd w:val="clear" w:color="auto" w:fill="FFFFFF"/>
        </w:rPr>
        <w:t xml:space="preserve"> por la parálisis de sector transporte. El transporte </w:t>
      </w:r>
      <w:r w:rsidR="00185AE6" w:rsidRPr="000F0FEE">
        <w:rPr>
          <w:rFonts w:ascii="Times New Roman" w:hAnsi="Times New Roman" w:cs="Times New Roman"/>
          <w:sz w:val="24"/>
          <w:szCs w:val="24"/>
          <w:shd w:val="clear" w:color="auto" w:fill="FFFFFF"/>
        </w:rPr>
        <w:t>personifica</w:t>
      </w:r>
      <w:r w:rsidR="00A64C3D" w:rsidRPr="000F0FEE">
        <w:rPr>
          <w:rFonts w:ascii="Times New Roman" w:hAnsi="Times New Roman" w:cs="Times New Roman"/>
          <w:sz w:val="24"/>
          <w:szCs w:val="24"/>
          <w:shd w:val="clear" w:color="auto" w:fill="FFFFFF"/>
        </w:rPr>
        <w:t xml:space="preserve"> cerca de </w:t>
      </w:r>
      <w:hyperlink r:id="rId8" w:history="1">
        <w:r w:rsidR="00A64C3D" w:rsidRPr="000F0FEE">
          <w:rPr>
            <w:rStyle w:val="Hipervnculo"/>
            <w:rFonts w:ascii="Times New Roman" w:hAnsi="Times New Roman" w:cs="Times New Roman"/>
            <w:color w:val="auto"/>
            <w:sz w:val="24"/>
            <w:szCs w:val="24"/>
            <w:u w:val="none"/>
            <w:shd w:val="clear" w:color="auto" w:fill="FFFFFF"/>
          </w:rPr>
          <w:t>70% del consumo total de petróleo a nivel global</w:t>
        </w:r>
      </w:hyperlink>
      <w:r w:rsidR="00A64C3D" w:rsidRPr="000F0FEE">
        <w:rPr>
          <w:rFonts w:ascii="Times New Roman" w:hAnsi="Times New Roman" w:cs="Times New Roman"/>
          <w:sz w:val="24"/>
          <w:szCs w:val="24"/>
          <w:shd w:val="clear" w:color="auto" w:fill="FFFFFF"/>
        </w:rPr>
        <w:t xml:space="preserve">. Con órdenes de confinamiento por ley, distanciamiento social y movilidad reducida, el transporte – por tierra o aire – se ha </w:t>
      </w:r>
      <w:r w:rsidR="00185AE6" w:rsidRPr="000F0FEE">
        <w:rPr>
          <w:rFonts w:ascii="Times New Roman" w:hAnsi="Times New Roman" w:cs="Times New Roman"/>
          <w:sz w:val="24"/>
          <w:szCs w:val="24"/>
          <w:shd w:val="clear" w:color="auto" w:fill="FFFFFF"/>
        </w:rPr>
        <w:t>habitualmente</w:t>
      </w:r>
      <w:r w:rsidR="00A64C3D" w:rsidRPr="000F0FEE">
        <w:rPr>
          <w:rFonts w:ascii="Times New Roman" w:hAnsi="Times New Roman" w:cs="Times New Roman"/>
          <w:sz w:val="24"/>
          <w:szCs w:val="24"/>
          <w:shd w:val="clear" w:color="auto" w:fill="FFFFFF"/>
        </w:rPr>
        <w:t xml:space="preserve"> paralizado. Esta paralización ocurrió </w:t>
      </w:r>
      <w:r w:rsidR="00185AE6" w:rsidRPr="000F0FEE">
        <w:rPr>
          <w:rFonts w:ascii="Times New Roman" w:hAnsi="Times New Roman" w:cs="Times New Roman"/>
          <w:sz w:val="24"/>
          <w:szCs w:val="24"/>
          <w:shd w:val="clear" w:color="auto" w:fill="FFFFFF"/>
        </w:rPr>
        <w:t>ligeramente</w:t>
      </w:r>
      <w:r w:rsidR="00A64C3D" w:rsidRPr="000F0FEE">
        <w:rPr>
          <w:rFonts w:ascii="Times New Roman" w:hAnsi="Times New Roman" w:cs="Times New Roman"/>
          <w:sz w:val="24"/>
          <w:szCs w:val="24"/>
          <w:shd w:val="clear" w:color="auto" w:fill="FFFFFF"/>
        </w:rPr>
        <w:t xml:space="preserve"> toda vez que las órdenes de confinamiento y prohibición de viajes tuvieron un efecto inmediato y con cierto grado de sincronización. </w:t>
      </w:r>
      <w:r w:rsidR="00185AE6" w:rsidRPr="000F0FEE">
        <w:rPr>
          <w:rFonts w:ascii="Times New Roman" w:hAnsi="Times New Roman" w:cs="Times New Roman"/>
          <w:sz w:val="24"/>
          <w:szCs w:val="24"/>
          <w:shd w:val="clear" w:color="auto" w:fill="FFFFFF"/>
        </w:rPr>
        <w:t>En contraste</w:t>
      </w:r>
      <w:r w:rsidR="00A64C3D" w:rsidRPr="000F0FEE">
        <w:rPr>
          <w:rFonts w:ascii="Times New Roman" w:hAnsi="Times New Roman" w:cs="Times New Roman"/>
          <w:sz w:val="24"/>
          <w:szCs w:val="24"/>
          <w:shd w:val="clear" w:color="auto" w:fill="FFFFFF"/>
        </w:rPr>
        <w:t xml:space="preserve">, la oferta de petróleo no se ha </w:t>
      </w:r>
      <w:r w:rsidR="00185AE6" w:rsidRPr="000F0FEE">
        <w:rPr>
          <w:rFonts w:ascii="Times New Roman" w:hAnsi="Times New Roman" w:cs="Times New Roman"/>
          <w:sz w:val="24"/>
          <w:szCs w:val="24"/>
          <w:shd w:val="clear" w:color="auto" w:fill="FFFFFF"/>
        </w:rPr>
        <w:t>limitado</w:t>
      </w:r>
      <w:r w:rsidR="00A64C3D" w:rsidRPr="000F0FEE">
        <w:rPr>
          <w:rFonts w:ascii="Times New Roman" w:hAnsi="Times New Roman" w:cs="Times New Roman"/>
          <w:sz w:val="24"/>
          <w:szCs w:val="24"/>
          <w:shd w:val="clear" w:color="auto" w:fill="FFFFFF"/>
        </w:rPr>
        <w:t xml:space="preserve"> en la misma proporción. La producción de petróleo solo se ha reducido en 2.5%, en los países dentro de la OECD, y un 5% en Estados Unidos, </w:t>
      </w:r>
      <w:r w:rsidR="00185AE6" w:rsidRPr="000F0FEE">
        <w:rPr>
          <w:rFonts w:ascii="Times New Roman" w:hAnsi="Times New Roman" w:cs="Times New Roman"/>
          <w:sz w:val="24"/>
          <w:szCs w:val="24"/>
          <w:shd w:val="clear" w:color="auto" w:fill="FFFFFF"/>
        </w:rPr>
        <w:t>entretanto</w:t>
      </w:r>
      <w:r w:rsidR="00A64C3D" w:rsidRPr="000F0FEE">
        <w:rPr>
          <w:rFonts w:ascii="Times New Roman" w:hAnsi="Times New Roman" w:cs="Times New Roman"/>
          <w:sz w:val="24"/>
          <w:szCs w:val="24"/>
          <w:shd w:val="clear" w:color="auto" w:fill="FFFFFF"/>
        </w:rPr>
        <w:t xml:space="preserve"> que la Organización de Países Exportadores de Petróleo (OPEP) ha </w:t>
      </w:r>
      <w:hyperlink r:id="rId9" w:history="1">
        <w:r w:rsidR="00185AE6" w:rsidRPr="000F0FEE">
          <w:rPr>
            <w:rStyle w:val="Hipervnculo"/>
            <w:rFonts w:ascii="Times New Roman" w:hAnsi="Times New Roman" w:cs="Times New Roman"/>
            <w:color w:val="auto"/>
            <w:sz w:val="24"/>
            <w:szCs w:val="24"/>
            <w:u w:val="none"/>
            <w:shd w:val="clear" w:color="auto" w:fill="FFFFFF"/>
          </w:rPr>
          <w:t>disminuido</w:t>
        </w:r>
        <w:r w:rsidR="00A64C3D" w:rsidRPr="000F0FEE">
          <w:rPr>
            <w:rStyle w:val="Hipervnculo"/>
            <w:rFonts w:ascii="Times New Roman" w:hAnsi="Times New Roman" w:cs="Times New Roman"/>
            <w:color w:val="auto"/>
            <w:sz w:val="24"/>
            <w:szCs w:val="24"/>
            <w:u w:val="none"/>
            <w:shd w:val="clear" w:color="auto" w:fill="FFFFFF"/>
          </w:rPr>
          <w:t xml:space="preserve"> su producción en tan solo 2%</w:t>
        </w:r>
      </w:hyperlink>
      <w:r w:rsidR="00A64C3D" w:rsidRPr="000F0FEE">
        <w:rPr>
          <w:rFonts w:ascii="Times New Roman" w:hAnsi="Times New Roman" w:cs="Times New Roman"/>
          <w:sz w:val="24"/>
          <w:szCs w:val="24"/>
          <w:shd w:val="clear" w:color="auto" w:fill="FFFFFF"/>
        </w:rPr>
        <w:t>. (Balza, et al, 2020)</w:t>
      </w:r>
    </w:p>
    <w:p w14:paraId="3D863CEF" w14:textId="61DC67AD" w:rsidR="0064317A" w:rsidRPr="000F0FEE" w:rsidRDefault="0064317A" w:rsidP="00A64C3D">
      <w:pPr>
        <w:spacing w:line="360" w:lineRule="auto"/>
        <w:jc w:val="both"/>
        <w:rPr>
          <w:rFonts w:ascii="Times New Roman" w:hAnsi="Times New Roman" w:cs="Times New Roman"/>
          <w:sz w:val="24"/>
          <w:szCs w:val="24"/>
          <w:shd w:val="clear" w:color="auto" w:fill="FFFFFF"/>
        </w:rPr>
      </w:pPr>
    </w:p>
    <w:p w14:paraId="6ABCF4B2" w14:textId="18376463" w:rsidR="002E75C2" w:rsidRPr="000F0FEE" w:rsidRDefault="000630D6" w:rsidP="002E75C2">
      <w:pPr>
        <w:spacing w:line="360" w:lineRule="auto"/>
        <w:rPr>
          <w:rFonts w:ascii="Times New Roman" w:hAnsi="Times New Roman" w:cs="Times New Roman"/>
          <w:b/>
          <w:bCs/>
          <w:sz w:val="24"/>
          <w:szCs w:val="24"/>
        </w:rPr>
      </w:pPr>
      <w:r w:rsidRPr="000F0FEE">
        <w:rPr>
          <w:rFonts w:ascii="Times New Roman" w:hAnsi="Times New Roman" w:cs="Times New Roman"/>
          <w:b/>
          <w:bCs/>
          <w:sz w:val="24"/>
          <w:szCs w:val="24"/>
        </w:rPr>
        <w:t>6. REFERENCIAS</w:t>
      </w:r>
    </w:p>
    <w:p w14:paraId="574FC7F2" w14:textId="783CD002" w:rsidR="00A64C3D" w:rsidRPr="000F0FEE" w:rsidRDefault="00A64C3D" w:rsidP="008E0FCE">
      <w:pPr>
        <w:spacing w:line="360" w:lineRule="auto"/>
        <w:ind w:left="709" w:hanging="709"/>
        <w:jc w:val="both"/>
        <w:rPr>
          <w:rFonts w:ascii="Times New Roman" w:hAnsi="Times New Roman" w:cs="Times New Roman"/>
          <w:sz w:val="24"/>
          <w:szCs w:val="24"/>
        </w:rPr>
      </w:pPr>
      <w:r w:rsidRPr="000F0FEE">
        <w:rPr>
          <w:rFonts w:ascii="Times New Roman" w:hAnsi="Times New Roman" w:cs="Times New Roman"/>
          <w:sz w:val="24"/>
          <w:szCs w:val="24"/>
        </w:rPr>
        <w:t xml:space="preserve">Balza, L. Carvajal, P. Madrigal, M. </w:t>
      </w:r>
      <w:r w:rsidR="006522CF" w:rsidRPr="000F0FEE">
        <w:rPr>
          <w:rFonts w:ascii="Times New Roman" w:hAnsi="Times New Roman" w:cs="Times New Roman"/>
          <w:sz w:val="24"/>
          <w:szCs w:val="24"/>
        </w:rPr>
        <w:t>Montañez</w:t>
      </w:r>
      <w:r w:rsidRPr="000F0FEE">
        <w:rPr>
          <w:rFonts w:ascii="Times New Roman" w:hAnsi="Times New Roman" w:cs="Times New Roman"/>
          <w:sz w:val="24"/>
          <w:szCs w:val="24"/>
        </w:rPr>
        <w:t xml:space="preserve">, L. </w:t>
      </w:r>
      <w:r w:rsidR="006522CF" w:rsidRPr="000F0FEE">
        <w:rPr>
          <w:rFonts w:ascii="Times New Roman" w:hAnsi="Times New Roman" w:cs="Times New Roman"/>
          <w:sz w:val="24"/>
          <w:szCs w:val="24"/>
        </w:rPr>
        <w:t>Sucre, C.</w:t>
      </w:r>
      <w:r w:rsidR="00DA591E" w:rsidRPr="000F0FEE">
        <w:rPr>
          <w:rFonts w:ascii="Times New Roman" w:hAnsi="Times New Roman" w:cs="Times New Roman"/>
          <w:sz w:val="24"/>
          <w:szCs w:val="24"/>
        </w:rPr>
        <w:t xml:space="preserve"> (2020). </w:t>
      </w:r>
      <w:r w:rsidRPr="000F0FEE">
        <w:rPr>
          <w:rFonts w:ascii="Times New Roman" w:hAnsi="Times New Roman" w:cs="Times New Roman"/>
          <w:sz w:val="24"/>
          <w:szCs w:val="24"/>
        </w:rPr>
        <w:t>La crisis de los precios de petróleo ante el COVID-19: recomendaciones de política para el sector energético</w:t>
      </w:r>
      <w:r w:rsidR="006522CF" w:rsidRPr="000F0FEE">
        <w:rPr>
          <w:rFonts w:ascii="Times New Roman" w:hAnsi="Times New Roman" w:cs="Times New Roman"/>
          <w:sz w:val="24"/>
          <w:szCs w:val="24"/>
        </w:rPr>
        <w:t>. Disponible en: https://blogs.iadb.org/energia/es/la-crisis-de-los-precios-de-petroleo-ante-el-covid-19-recomendaciones-de-politica-para-el-sector-energetico/</w:t>
      </w:r>
    </w:p>
    <w:p w14:paraId="2C3617A7" w14:textId="148EA01A" w:rsidR="006D3214" w:rsidRPr="000F0FEE" w:rsidRDefault="006D3214" w:rsidP="008E0FCE">
      <w:pPr>
        <w:spacing w:after="120" w:line="360" w:lineRule="auto"/>
        <w:ind w:left="709" w:hanging="709"/>
        <w:jc w:val="both"/>
        <w:outlineLvl w:val="0"/>
        <w:rPr>
          <w:rFonts w:ascii="Times New Roman" w:hAnsi="Times New Roman" w:cs="Times New Roman"/>
          <w:sz w:val="24"/>
          <w:szCs w:val="24"/>
          <w:shd w:val="clear" w:color="auto" w:fill="FFFFFF"/>
        </w:rPr>
      </w:pPr>
      <w:r w:rsidRPr="000F0FEE">
        <w:rPr>
          <w:rFonts w:ascii="Times New Roman" w:hAnsi="Times New Roman" w:cs="Times New Roman"/>
          <w:sz w:val="24"/>
          <w:szCs w:val="24"/>
          <w:shd w:val="clear" w:color="auto" w:fill="FFFFFF"/>
        </w:rPr>
        <w:t xml:space="preserve">BMJ.  Enfermedad </w:t>
      </w:r>
      <w:r w:rsidR="00403C64" w:rsidRPr="000F0FEE">
        <w:rPr>
          <w:rFonts w:ascii="Times New Roman" w:hAnsi="Times New Roman" w:cs="Times New Roman"/>
          <w:sz w:val="24"/>
          <w:szCs w:val="24"/>
          <w:shd w:val="clear" w:color="auto" w:fill="FFFFFF"/>
        </w:rPr>
        <w:t xml:space="preserve">por </w:t>
      </w:r>
      <w:r w:rsidR="00ED1E44" w:rsidRPr="000F0FEE">
        <w:rPr>
          <w:rFonts w:ascii="Times New Roman" w:hAnsi="Times New Roman" w:cs="Times New Roman"/>
          <w:sz w:val="24"/>
          <w:szCs w:val="24"/>
          <w:shd w:val="clear" w:color="auto" w:fill="FFFFFF"/>
        </w:rPr>
        <w:t>coronavirus 2019</w:t>
      </w:r>
      <w:r w:rsidRPr="000F0FEE">
        <w:rPr>
          <w:rFonts w:ascii="Times New Roman" w:hAnsi="Times New Roman" w:cs="Times New Roman"/>
          <w:sz w:val="24"/>
          <w:szCs w:val="24"/>
          <w:shd w:val="clear" w:color="auto" w:fill="FFFFFF"/>
        </w:rPr>
        <w:t xml:space="preserve"> (COVID-19). </w:t>
      </w:r>
      <w:r w:rsidR="006C4EB6" w:rsidRPr="000F0FEE">
        <w:rPr>
          <w:rFonts w:ascii="Times New Roman" w:hAnsi="Times New Roman" w:cs="Times New Roman"/>
          <w:sz w:val="24"/>
          <w:szCs w:val="24"/>
          <w:shd w:val="clear" w:color="auto" w:fill="FFFFFF"/>
        </w:rPr>
        <w:t>(</w:t>
      </w:r>
      <w:r w:rsidRPr="000F0FEE">
        <w:rPr>
          <w:rFonts w:ascii="Times New Roman" w:hAnsi="Times New Roman" w:cs="Times New Roman"/>
          <w:sz w:val="24"/>
          <w:szCs w:val="24"/>
          <w:shd w:val="clear" w:color="auto" w:fill="FFFFFF"/>
        </w:rPr>
        <w:t>2020</w:t>
      </w:r>
      <w:r w:rsidR="006C4EB6" w:rsidRPr="000F0FEE">
        <w:rPr>
          <w:rFonts w:ascii="Times New Roman" w:hAnsi="Times New Roman" w:cs="Times New Roman"/>
          <w:sz w:val="24"/>
          <w:szCs w:val="24"/>
          <w:shd w:val="clear" w:color="auto" w:fill="FFFFFF"/>
        </w:rPr>
        <w:t>)</w:t>
      </w:r>
      <w:r w:rsidRPr="000F0FEE">
        <w:rPr>
          <w:rFonts w:ascii="Times New Roman" w:hAnsi="Times New Roman" w:cs="Times New Roman"/>
          <w:sz w:val="24"/>
          <w:szCs w:val="24"/>
          <w:shd w:val="clear" w:color="auto" w:fill="FFFFFF"/>
        </w:rPr>
        <w:t>.</w:t>
      </w:r>
      <w:r w:rsidR="006C4EB6" w:rsidRPr="000F0FEE">
        <w:rPr>
          <w:rFonts w:ascii="Times New Roman" w:hAnsi="Times New Roman" w:cs="Times New Roman"/>
          <w:sz w:val="24"/>
          <w:szCs w:val="24"/>
          <w:shd w:val="clear" w:color="auto" w:fill="FFFFFF"/>
        </w:rPr>
        <w:t xml:space="preserve"> </w:t>
      </w:r>
      <w:r w:rsidR="00DE61E2" w:rsidRPr="000F0FEE">
        <w:rPr>
          <w:rFonts w:ascii="Times New Roman" w:hAnsi="Times New Roman" w:cs="Times New Roman"/>
          <w:sz w:val="24"/>
          <w:szCs w:val="24"/>
          <w:shd w:val="clear" w:color="auto" w:fill="FFFFFF"/>
        </w:rPr>
        <w:t>Recuperado de</w:t>
      </w:r>
      <w:r w:rsidRPr="000F0FEE">
        <w:rPr>
          <w:rFonts w:ascii="Times New Roman" w:hAnsi="Times New Roman" w:cs="Times New Roman"/>
          <w:sz w:val="24"/>
          <w:szCs w:val="24"/>
          <w:shd w:val="clear" w:color="auto" w:fill="FFFFFF"/>
        </w:rPr>
        <w:t xml:space="preserve">:  </w:t>
      </w:r>
      <w:hyperlink r:id="rId10" w:history="1">
        <w:r w:rsidR="00182239" w:rsidRPr="000F0FEE">
          <w:rPr>
            <w:rStyle w:val="Hipervnculo"/>
            <w:rFonts w:ascii="Times New Roman" w:hAnsi="Times New Roman" w:cs="Times New Roman"/>
            <w:sz w:val="24"/>
            <w:szCs w:val="24"/>
            <w:shd w:val="clear" w:color="auto" w:fill="FFFFFF"/>
          </w:rPr>
          <w:t>https://bestpractice.bmj.com/topics/es-es/3000201</w:t>
        </w:r>
      </w:hyperlink>
    </w:p>
    <w:p w14:paraId="4BC475AB" w14:textId="7D1224F0" w:rsidR="00182239" w:rsidRPr="000F0FEE" w:rsidRDefault="00182239" w:rsidP="00182239">
      <w:pPr>
        <w:ind w:left="709" w:hanging="709"/>
        <w:rPr>
          <w:rFonts w:ascii="Times New Roman" w:hAnsi="Times New Roman" w:cs="Times New Roman"/>
          <w:sz w:val="24"/>
          <w:szCs w:val="24"/>
        </w:rPr>
      </w:pPr>
      <w:r w:rsidRPr="000F0FEE">
        <w:rPr>
          <w:rFonts w:ascii="Times New Roman" w:hAnsi="Times New Roman" w:cs="Times New Roman"/>
          <w:sz w:val="24"/>
          <w:szCs w:val="24"/>
        </w:rPr>
        <w:t>Corredor, F. Martínez, P. El peso de la incertidumbre: dólar, petróleo y coronavirus. Disponible en: https://www.uexternado.edu.co/economia/el-peso-de-la-incertidumbre-dolar-petroleo-y-coronavirus/</w:t>
      </w:r>
    </w:p>
    <w:p w14:paraId="323626FA" w14:textId="547A8B3D" w:rsidR="006D3214" w:rsidRPr="000F0FEE" w:rsidRDefault="006D3214" w:rsidP="008E0FCE">
      <w:pPr>
        <w:spacing w:after="120" w:line="360" w:lineRule="auto"/>
        <w:ind w:left="709" w:hanging="709"/>
        <w:jc w:val="both"/>
        <w:outlineLvl w:val="0"/>
        <w:rPr>
          <w:rStyle w:val="Hipervnculo"/>
          <w:rFonts w:ascii="Times New Roman" w:hAnsi="Times New Roman" w:cs="Times New Roman"/>
          <w:sz w:val="24"/>
          <w:szCs w:val="24"/>
          <w:shd w:val="clear" w:color="auto" w:fill="FFFFFF"/>
        </w:rPr>
      </w:pPr>
      <w:r w:rsidRPr="000F0FEE">
        <w:rPr>
          <w:rFonts w:ascii="Times New Roman" w:hAnsi="Times New Roman" w:cs="Times New Roman"/>
          <w:color w:val="222222"/>
          <w:sz w:val="24"/>
          <w:szCs w:val="24"/>
          <w:shd w:val="clear" w:color="auto" w:fill="FFFFFF"/>
        </w:rPr>
        <w:t>Díaz</w:t>
      </w:r>
      <w:r w:rsidR="00B17484" w:rsidRPr="000F0FEE">
        <w:rPr>
          <w:rFonts w:ascii="Times New Roman" w:hAnsi="Times New Roman" w:cs="Times New Roman"/>
          <w:color w:val="222222"/>
          <w:sz w:val="24"/>
          <w:szCs w:val="24"/>
          <w:shd w:val="clear" w:color="auto" w:fill="FFFFFF"/>
        </w:rPr>
        <w:t xml:space="preserve">, </w:t>
      </w:r>
      <w:r w:rsidRPr="000F0FEE">
        <w:rPr>
          <w:rFonts w:ascii="Times New Roman" w:hAnsi="Times New Roman" w:cs="Times New Roman"/>
          <w:color w:val="222222"/>
          <w:sz w:val="24"/>
          <w:szCs w:val="24"/>
          <w:shd w:val="clear" w:color="auto" w:fill="FFFFFF"/>
        </w:rPr>
        <w:t>J</w:t>
      </w:r>
      <w:r w:rsidR="00B17484" w:rsidRPr="000F0FEE">
        <w:rPr>
          <w:rFonts w:ascii="Times New Roman" w:hAnsi="Times New Roman" w:cs="Times New Roman"/>
          <w:color w:val="222222"/>
          <w:sz w:val="24"/>
          <w:szCs w:val="24"/>
          <w:shd w:val="clear" w:color="auto" w:fill="FFFFFF"/>
        </w:rPr>
        <w:t xml:space="preserve">. </w:t>
      </w:r>
      <w:r w:rsidRPr="000F0FEE">
        <w:rPr>
          <w:rFonts w:ascii="Times New Roman" w:hAnsi="Times New Roman" w:cs="Times New Roman"/>
          <w:color w:val="222222"/>
          <w:sz w:val="24"/>
          <w:szCs w:val="24"/>
          <w:shd w:val="clear" w:color="auto" w:fill="FFFFFF"/>
        </w:rPr>
        <w:t>(2021). COVID-19 en Colombia: un año después de confirmar su primer caso. </w:t>
      </w:r>
      <w:r w:rsidRPr="000F0FEE">
        <w:rPr>
          <w:rFonts w:ascii="Times New Roman" w:hAnsi="Times New Roman" w:cs="Times New Roman"/>
          <w:i/>
          <w:iCs/>
          <w:color w:val="222222"/>
          <w:sz w:val="24"/>
          <w:szCs w:val="24"/>
          <w:shd w:val="clear" w:color="auto" w:fill="FFFFFF"/>
        </w:rPr>
        <w:t>Revista Repertorio De Medicina Y Cirugía</w:t>
      </w:r>
      <w:r w:rsidRPr="000F0FEE">
        <w:rPr>
          <w:rFonts w:ascii="Times New Roman" w:hAnsi="Times New Roman" w:cs="Times New Roman"/>
          <w:color w:val="222222"/>
          <w:sz w:val="24"/>
          <w:szCs w:val="24"/>
          <w:shd w:val="clear" w:color="auto" w:fill="FFFFFF"/>
        </w:rPr>
        <w:t xml:space="preserve">, 10–15. </w:t>
      </w:r>
      <w:r w:rsidRPr="000F0FEE">
        <w:rPr>
          <w:rFonts w:ascii="Times New Roman" w:hAnsi="Times New Roman" w:cs="Times New Roman"/>
          <w:sz w:val="24"/>
          <w:szCs w:val="24"/>
          <w:shd w:val="clear" w:color="auto" w:fill="FFFFFF"/>
        </w:rPr>
        <w:t>https://doi.org/10.31260/RepertMedCir.01217372.1182</w:t>
      </w:r>
    </w:p>
    <w:p w14:paraId="15F4F97F" w14:textId="2C48539D" w:rsidR="005B325A" w:rsidRPr="000F0FEE" w:rsidRDefault="00B17484" w:rsidP="008E0FCE">
      <w:pPr>
        <w:shd w:val="clear" w:color="auto" w:fill="FFFFFF"/>
        <w:spacing w:line="360" w:lineRule="auto"/>
        <w:ind w:left="709" w:hanging="709"/>
        <w:jc w:val="both"/>
        <w:rPr>
          <w:rFonts w:ascii="Times New Roman" w:eastAsia="Times New Roman" w:hAnsi="Times New Roman" w:cs="Times New Roman"/>
          <w:sz w:val="24"/>
          <w:szCs w:val="24"/>
          <w:lang w:eastAsia="es-CO"/>
        </w:rPr>
      </w:pPr>
      <w:r w:rsidRPr="000F0FEE">
        <w:rPr>
          <w:rFonts w:ascii="Times New Roman" w:hAnsi="Times New Roman" w:cs="Times New Roman"/>
          <w:color w:val="222222"/>
          <w:sz w:val="24"/>
          <w:szCs w:val="24"/>
          <w:shd w:val="clear" w:color="auto" w:fill="FFFFFF"/>
        </w:rPr>
        <w:t>Díaz, J</w:t>
      </w:r>
      <w:r w:rsidRPr="000F0FEE">
        <w:rPr>
          <w:rFonts w:ascii="Times New Roman" w:hAnsi="Times New Roman" w:cs="Times New Roman"/>
          <w:sz w:val="24"/>
          <w:szCs w:val="24"/>
          <w:shd w:val="clear" w:color="auto" w:fill="FFFFFF"/>
        </w:rPr>
        <w:t xml:space="preserve">. </w:t>
      </w:r>
      <w:r w:rsidR="005B325A" w:rsidRPr="000F0FEE">
        <w:rPr>
          <w:rFonts w:ascii="Times New Roman" w:hAnsi="Times New Roman" w:cs="Times New Roman"/>
          <w:sz w:val="24"/>
          <w:szCs w:val="24"/>
          <w:shd w:val="clear" w:color="auto" w:fill="FFFFFF"/>
        </w:rPr>
        <w:t>(2020a). Descripción estadística del COVID- 19 según el grupo etario en Colombia. </w:t>
      </w:r>
      <w:r w:rsidR="005B325A" w:rsidRPr="000F0FEE">
        <w:rPr>
          <w:rFonts w:ascii="Times New Roman" w:hAnsi="Times New Roman" w:cs="Times New Roman"/>
          <w:i/>
          <w:iCs/>
          <w:sz w:val="24"/>
          <w:szCs w:val="24"/>
          <w:shd w:val="clear" w:color="auto" w:fill="FFFFFF"/>
        </w:rPr>
        <w:t>Revista Repertorio De Medicina Y Cirugía</w:t>
      </w:r>
      <w:r w:rsidR="005B325A" w:rsidRPr="000F0FEE">
        <w:rPr>
          <w:rFonts w:ascii="Times New Roman" w:hAnsi="Times New Roman" w:cs="Times New Roman"/>
          <w:sz w:val="24"/>
          <w:szCs w:val="24"/>
          <w:shd w:val="clear" w:color="auto" w:fill="FFFFFF"/>
        </w:rPr>
        <w:t>, 79–85. https://doi.org/10.31260/RepertMedCir.01217372.1098</w:t>
      </w:r>
    </w:p>
    <w:p w14:paraId="72144B22" w14:textId="72C1448C" w:rsidR="005B325A" w:rsidRPr="000F0FEE" w:rsidRDefault="00B17484" w:rsidP="008E0FCE">
      <w:pPr>
        <w:shd w:val="clear" w:color="auto" w:fill="FFFFFF"/>
        <w:spacing w:line="360" w:lineRule="auto"/>
        <w:ind w:left="709" w:hanging="709"/>
        <w:jc w:val="both"/>
        <w:rPr>
          <w:rFonts w:ascii="Times New Roman" w:eastAsia="Times New Roman" w:hAnsi="Times New Roman" w:cs="Times New Roman"/>
          <w:sz w:val="24"/>
          <w:szCs w:val="24"/>
          <w:lang w:eastAsia="es-CO"/>
        </w:rPr>
      </w:pPr>
      <w:r w:rsidRPr="000F0FEE">
        <w:rPr>
          <w:rFonts w:ascii="Times New Roman" w:hAnsi="Times New Roman" w:cs="Times New Roman"/>
          <w:color w:val="222222"/>
          <w:sz w:val="24"/>
          <w:szCs w:val="24"/>
          <w:shd w:val="clear" w:color="auto" w:fill="FFFFFF"/>
        </w:rPr>
        <w:t>Díaz, J</w:t>
      </w:r>
      <w:r w:rsidR="005B325A" w:rsidRPr="000F0FEE">
        <w:rPr>
          <w:rFonts w:ascii="Times New Roman" w:hAnsi="Times New Roman" w:cs="Times New Roman"/>
          <w:sz w:val="24"/>
          <w:szCs w:val="24"/>
          <w:shd w:val="clear" w:color="auto" w:fill="FFFFFF"/>
        </w:rPr>
        <w:t>. (2020b). Continuidad con los procesos pedagógicos de los estudiantes durante la pandemia ocasionada por el COVID-19. </w:t>
      </w:r>
      <w:r w:rsidR="005B325A" w:rsidRPr="000F0FEE">
        <w:rPr>
          <w:rFonts w:ascii="Times New Roman" w:hAnsi="Times New Roman" w:cs="Times New Roman"/>
          <w:i/>
          <w:iCs/>
          <w:sz w:val="24"/>
          <w:szCs w:val="24"/>
          <w:shd w:val="clear" w:color="auto" w:fill="FFFFFF"/>
        </w:rPr>
        <w:t>Revista Repertorio De Medicina Y Cirugía</w:t>
      </w:r>
      <w:r w:rsidR="005B325A" w:rsidRPr="000F0FEE">
        <w:rPr>
          <w:rFonts w:ascii="Times New Roman" w:hAnsi="Times New Roman" w:cs="Times New Roman"/>
          <w:sz w:val="24"/>
          <w:szCs w:val="24"/>
          <w:shd w:val="clear" w:color="auto" w:fill="FFFFFF"/>
        </w:rPr>
        <w:t>, 108–112. Recuperado a partir de https://revistas.fucsalud.edu.co/index.php/repertorio/article/view/1128</w:t>
      </w:r>
    </w:p>
    <w:p w14:paraId="0F935AEE" w14:textId="04C45FC6" w:rsidR="005B325A" w:rsidRPr="000F0FEE" w:rsidRDefault="00B17484" w:rsidP="008E0FCE">
      <w:pPr>
        <w:autoSpaceDE w:val="0"/>
        <w:autoSpaceDN w:val="0"/>
        <w:adjustRightInd w:val="0"/>
        <w:spacing w:after="0" w:line="360" w:lineRule="auto"/>
        <w:ind w:left="709" w:hanging="709"/>
        <w:jc w:val="both"/>
        <w:rPr>
          <w:rFonts w:ascii="Times New Roman" w:hAnsi="Times New Roman" w:cs="Times New Roman"/>
          <w:sz w:val="24"/>
          <w:szCs w:val="24"/>
          <w:shd w:val="clear" w:color="auto" w:fill="FFFFFF"/>
        </w:rPr>
      </w:pPr>
      <w:r w:rsidRPr="000F0FEE">
        <w:rPr>
          <w:rFonts w:ascii="Times New Roman" w:hAnsi="Times New Roman" w:cs="Times New Roman"/>
          <w:color w:val="222222"/>
          <w:sz w:val="24"/>
          <w:szCs w:val="24"/>
          <w:shd w:val="clear" w:color="auto" w:fill="FFFFFF"/>
        </w:rPr>
        <w:t>Díaz, J</w:t>
      </w:r>
      <w:r w:rsidR="005B325A" w:rsidRPr="000F0FEE">
        <w:rPr>
          <w:rFonts w:ascii="Times New Roman" w:hAnsi="Times New Roman" w:cs="Times New Roman"/>
          <w:sz w:val="24"/>
          <w:szCs w:val="24"/>
          <w:shd w:val="clear" w:color="auto" w:fill="FFFFFF"/>
        </w:rPr>
        <w:t>. (2020c). Positividad y proporción para muestras por COVID-19 en Colombia. </w:t>
      </w:r>
      <w:r w:rsidR="005B325A" w:rsidRPr="000F0FEE">
        <w:rPr>
          <w:rFonts w:ascii="Times New Roman" w:hAnsi="Times New Roman" w:cs="Times New Roman"/>
          <w:i/>
          <w:iCs/>
          <w:sz w:val="24"/>
          <w:szCs w:val="24"/>
          <w:shd w:val="clear" w:color="auto" w:fill="FFFFFF"/>
        </w:rPr>
        <w:t>Revista Repertorio De Medicina Y Cirugía</w:t>
      </w:r>
      <w:r w:rsidR="005B325A" w:rsidRPr="000F0FEE">
        <w:rPr>
          <w:rFonts w:ascii="Times New Roman" w:hAnsi="Times New Roman" w:cs="Times New Roman"/>
          <w:sz w:val="24"/>
          <w:szCs w:val="24"/>
          <w:shd w:val="clear" w:color="auto" w:fill="FFFFFF"/>
        </w:rPr>
        <w:t>, 127–130. https://doi.org/10.31260/RepertMedCir.01217372.1134</w:t>
      </w:r>
    </w:p>
    <w:p w14:paraId="131B360B" w14:textId="77777777" w:rsidR="005B325A" w:rsidRPr="000F0FEE" w:rsidRDefault="005B325A" w:rsidP="008E0FCE">
      <w:pPr>
        <w:spacing w:after="120" w:line="360" w:lineRule="auto"/>
        <w:ind w:left="709" w:hanging="709"/>
        <w:jc w:val="both"/>
        <w:outlineLvl w:val="0"/>
        <w:rPr>
          <w:rFonts w:ascii="Times New Roman" w:hAnsi="Times New Roman" w:cs="Times New Roman"/>
          <w:b/>
          <w:bCs/>
          <w:sz w:val="24"/>
          <w:szCs w:val="24"/>
        </w:rPr>
      </w:pPr>
    </w:p>
    <w:p w14:paraId="417E9006" w14:textId="08E20C8D" w:rsidR="005B325A" w:rsidRPr="000F0FEE" w:rsidRDefault="005B325A" w:rsidP="008E0FCE">
      <w:pPr>
        <w:spacing w:line="360" w:lineRule="auto"/>
        <w:ind w:left="709" w:hanging="709"/>
        <w:jc w:val="both"/>
        <w:rPr>
          <w:rFonts w:ascii="Times New Roman" w:hAnsi="Times New Roman" w:cs="Times New Roman"/>
          <w:sz w:val="24"/>
          <w:szCs w:val="24"/>
        </w:rPr>
      </w:pPr>
      <w:r w:rsidRPr="000F0FEE">
        <w:rPr>
          <w:rFonts w:ascii="Times New Roman" w:hAnsi="Times New Roman" w:cs="Times New Roman"/>
          <w:sz w:val="24"/>
          <w:szCs w:val="24"/>
        </w:rPr>
        <w:t xml:space="preserve">EFE. Agencia efe. (2021). La nueva variante de la covid-19 lastra al brent, que baja casi un 5 %. Disponible </w:t>
      </w:r>
      <w:r w:rsidR="003831F9" w:rsidRPr="000F0FEE">
        <w:rPr>
          <w:rFonts w:ascii="Times New Roman" w:hAnsi="Times New Roman" w:cs="Times New Roman"/>
          <w:sz w:val="24"/>
          <w:szCs w:val="24"/>
        </w:rPr>
        <w:t>en:</w:t>
      </w:r>
      <w:r w:rsidRPr="000F0FEE">
        <w:rPr>
          <w:rFonts w:ascii="Times New Roman" w:hAnsi="Times New Roman" w:cs="Times New Roman"/>
          <w:sz w:val="24"/>
          <w:szCs w:val="24"/>
        </w:rPr>
        <w:t xml:space="preserve"> </w:t>
      </w:r>
      <w:r w:rsidR="003831F9" w:rsidRPr="000F0FEE">
        <w:rPr>
          <w:rFonts w:ascii="Times New Roman" w:hAnsi="Times New Roman" w:cs="Times New Roman"/>
          <w:sz w:val="24"/>
          <w:szCs w:val="24"/>
        </w:rPr>
        <w:t>https://bit.ly/3KU0aDO</w:t>
      </w:r>
    </w:p>
    <w:p w14:paraId="2F6800BC" w14:textId="153DF6A8" w:rsidR="005B325A" w:rsidRPr="000F0FEE" w:rsidRDefault="005B325A" w:rsidP="008E0FCE">
      <w:pPr>
        <w:spacing w:line="360" w:lineRule="auto"/>
        <w:ind w:left="709" w:hanging="709"/>
        <w:jc w:val="both"/>
        <w:rPr>
          <w:rFonts w:ascii="Times New Roman" w:hAnsi="Times New Roman" w:cs="Times New Roman"/>
          <w:sz w:val="24"/>
          <w:szCs w:val="24"/>
        </w:rPr>
      </w:pPr>
      <w:r w:rsidRPr="000F0FEE">
        <w:rPr>
          <w:rFonts w:ascii="Times New Roman" w:hAnsi="Times New Roman" w:cs="Times New Roman"/>
          <w:sz w:val="24"/>
          <w:szCs w:val="24"/>
        </w:rPr>
        <w:t>EL ECONOMISTA. (2022). Precios del petróleo descienden 1% por nuevas infecciones de la variante Ómicron de COVID-19.</w:t>
      </w:r>
      <w:r w:rsidR="003831F9" w:rsidRPr="000F0FEE">
        <w:rPr>
          <w:rFonts w:ascii="Times New Roman" w:hAnsi="Times New Roman" w:cs="Times New Roman"/>
          <w:sz w:val="24"/>
          <w:szCs w:val="24"/>
        </w:rPr>
        <w:t xml:space="preserve"> </w:t>
      </w:r>
      <w:r w:rsidRPr="000F0FEE">
        <w:rPr>
          <w:rFonts w:ascii="Times New Roman" w:hAnsi="Times New Roman" w:cs="Times New Roman"/>
          <w:sz w:val="24"/>
          <w:szCs w:val="24"/>
        </w:rPr>
        <w:t xml:space="preserve">Disponible </w:t>
      </w:r>
      <w:r w:rsidR="003831F9" w:rsidRPr="000F0FEE">
        <w:rPr>
          <w:rFonts w:ascii="Times New Roman" w:hAnsi="Times New Roman" w:cs="Times New Roman"/>
          <w:sz w:val="24"/>
          <w:szCs w:val="24"/>
        </w:rPr>
        <w:t>en:</w:t>
      </w:r>
      <w:r w:rsidRPr="000F0FEE">
        <w:rPr>
          <w:rFonts w:ascii="Times New Roman" w:hAnsi="Times New Roman" w:cs="Times New Roman"/>
          <w:sz w:val="24"/>
          <w:szCs w:val="24"/>
        </w:rPr>
        <w:t xml:space="preserve"> </w:t>
      </w:r>
      <w:r w:rsidR="003831F9" w:rsidRPr="000F0FEE">
        <w:rPr>
          <w:rFonts w:ascii="Times New Roman" w:hAnsi="Times New Roman" w:cs="Times New Roman"/>
          <w:sz w:val="24"/>
          <w:szCs w:val="24"/>
        </w:rPr>
        <w:t>https://bit.ly/3qoIJUb</w:t>
      </w:r>
    </w:p>
    <w:p w14:paraId="589ABF9B" w14:textId="5C5235E6" w:rsidR="00403C64" w:rsidRPr="000F0FEE" w:rsidRDefault="00403C64" w:rsidP="008E0FCE">
      <w:pPr>
        <w:spacing w:line="360" w:lineRule="auto"/>
        <w:ind w:left="709" w:hanging="709"/>
        <w:jc w:val="both"/>
        <w:rPr>
          <w:rFonts w:ascii="Times New Roman" w:hAnsi="Times New Roman" w:cs="Times New Roman"/>
          <w:sz w:val="24"/>
          <w:szCs w:val="24"/>
        </w:rPr>
      </w:pPr>
      <w:r w:rsidRPr="000F0FEE">
        <w:rPr>
          <w:rFonts w:ascii="Times New Roman" w:hAnsi="Times New Roman" w:cs="Times New Roman"/>
          <w:sz w:val="24"/>
          <w:szCs w:val="24"/>
        </w:rPr>
        <w:t xml:space="preserve">FRANCE 24. (2020). Shock petrolero, una de las consecuencias por la pandemia del Covid-19. Disponible en: </w:t>
      </w:r>
      <w:r w:rsidR="004021AF" w:rsidRPr="000F0FEE">
        <w:rPr>
          <w:rFonts w:ascii="Times New Roman" w:hAnsi="Times New Roman" w:cs="Times New Roman"/>
          <w:sz w:val="24"/>
          <w:szCs w:val="24"/>
        </w:rPr>
        <w:t>https://bit.ly/3ik1bZK</w:t>
      </w:r>
    </w:p>
    <w:p w14:paraId="6A22FC7E" w14:textId="5D2F6370" w:rsidR="00D46D8B" w:rsidRPr="000F0FEE" w:rsidRDefault="00D46D8B" w:rsidP="008E0FCE">
      <w:pPr>
        <w:autoSpaceDE w:val="0"/>
        <w:autoSpaceDN w:val="0"/>
        <w:adjustRightInd w:val="0"/>
        <w:spacing w:after="0" w:line="360" w:lineRule="auto"/>
        <w:ind w:left="709" w:hanging="709"/>
        <w:jc w:val="both"/>
        <w:rPr>
          <w:rStyle w:val="value"/>
          <w:rFonts w:ascii="Times New Roman" w:hAnsi="Times New Roman" w:cs="Times New Roman"/>
          <w:sz w:val="24"/>
          <w:szCs w:val="24"/>
          <w:shd w:val="clear" w:color="auto" w:fill="FFFFFF"/>
        </w:rPr>
      </w:pPr>
      <w:r w:rsidRPr="000F0FEE">
        <w:rPr>
          <w:rStyle w:val="Hipervnculo"/>
          <w:rFonts w:ascii="Times New Roman" w:hAnsi="Times New Roman" w:cs="Times New Roman"/>
          <w:color w:val="auto"/>
          <w:sz w:val="24"/>
          <w:szCs w:val="24"/>
          <w:u w:val="none"/>
        </w:rPr>
        <w:t>Instituto Nacional de Salud. Coronavirus (COVID-19) en Colombia. (2</w:t>
      </w:r>
      <w:r w:rsidRPr="000F0FEE">
        <w:rPr>
          <w:rFonts w:ascii="Times New Roman" w:hAnsi="Times New Roman" w:cs="Times New Roman"/>
          <w:sz w:val="24"/>
          <w:szCs w:val="24"/>
        </w:rPr>
        <w:t>021). Disponible en: https://www.ins.gov.co/Paginas/Inicio.aspx</w:t>
      </w:r>
    </w:p>
    <w:p w14:paraId="3F1F2A97" w14:textId="77777777" w:rsidR="00CA584D" w:rsidRPr="000F0FEE" w:rsidRDefault="00CA584D" w:rsidP="008E0FCE">
      <w:pPr>
        <w:spacing w:line="360" w:lineRule="auto"/>
        <w:ind w:left="709" w:hanging="709"/>
        <w:jc w:val="both"/>
        <w:rPr>
          <w:rFonts w:ascii="Times New Roman" w:hAnsi="Times New Roman" w:cs="Times New Roman"/>
          <w:sz w:val="24"/>
          <w:szCs w:val="24"/>
        </w:rPr>
      </w:pPr>
    </w:p>
    <w:p w14:paraId="4DD0D98D" w14:textId="3DFD7285" w:rsidR="00D46D8B" w:rsidRPr="000F0FEE" w:rsidRDefault="00D46D8B" w:rsidP="008E0FCE">
      <w:pPr>
        <w:spacing w:line="360" w:lineRule="auto"/>
        <w:ind w:left="709" w:hanging="709"/>
        <w:jc w:val="both"/>
        <w:rPr>
          <w:rFonts w:ascii="Times New Roman" w:hAnsi="Times New Roman" w:cs="Times New Roman"/>
          <w:sz w:val="24"/>
          <w:szCs w:val="24"/>
        </w:rPr>
      </w:pPr>
      <w:r w:rsidRPr="000F0FEE">
        <w:rPr>
          <w:rFonts w:ascii="Times New Roman" w:hAnsi="Times New Roman" w:cs="Times New Roman"/>
          <w:sz w:val="24"/>
          <w:szCs w:val="24"/>
        </w:rPr>
        <w:t xml:space="preserve">Investing. Datos históricos Futuros petróleo Brent. (2022). Disponible en: </w:t>
      </w:r>
      <w:hyperlink r:id="rId11" w:history="1">
        <w:r w:rsidR="00B83C53" w:rsidRPr="000F0FEE">
          <w:rPr>
            <w:rStyle w:val="Hipervnculo"/>
            <w:rFonts w:ascii="Times New Roman" w:hAnsi="Times New Roman" w:cs="Times New Roman"/>
            <w:sz w:val="24"/>
            <w:szCs w:val="24"/>
          </w:rPr>
          <w:t>https://es.investing.com/commodities/brent-oil-historical-data</w:t>
        </w:r>
      </w:hyperlink>
    </w:p>
    <w:p w14:paraId="71E8BE23" w14:textId="77777777" w:rsidR="00B83C53" w:rsidRPr="000F0FEE" w:rsidRDefault="00B83C53" w:rsidP="00B83C53">
      <w:pPr>
        <w:spacing w:line="360" w:lineRule="auto"/>
        <w:ind w:left="709" w:hanging="709"/>
        <w:jc w:val="both"/>
        <w:rPr>
          <w:rFonts w:ascii="Times New Roman" w:hAnsi="Times New Roman" w:cs="Times New Roman"/>
          <w:sz w:val="24"/>
          <w:szCs w:val="24"/>
        </w:rPr>
      </w:pPr>
      <w:r w:rsidRPr="000F0FEE">
        <w:rPr>
          <w:rFonts w:ascii="Times New Roman" w:hAnsi="Times New Roman" w:cs="Times New Roman"/>
          <w:sz w:val="24"/>
          <w:szCs w:val="24"/>
        </w:rPr>
        <w:t xml:space="preserve">LA REPÚBLICA. (2021). Barril de petróleo repunta, el mercado pasa por alto aumento de casos de COVID-19. Disponible en: </w:t>
      </w:r>
      <w:hyperlink r:id="rId12" w:history="1">
        <w:r w:rsidRPr="000F0FEE">
          <w:rPr>
            <w:rStyle w:val="Hipervnculo"/>
            <w:rFonts w:ascii="Times New Roman" w:hAnsi="Times New Roman" w:cs="Times New Roman"/>
            <w:sz w:val="24"/>
            <w:szCs w:val="24"/>
          </w:rPr>
          <w:t>https://bit.ly/3wiN1jP</w:t>
        </w:r>
      </w:hyperlink>
    </w:p>
    <w:p w14:paraId="2E3E43D3" w14:textId="0479C7FD" w:rsidR="00B83C53" w:rsidRPr="000F0FEE" w:rsidRDefault="00B83C53" w:rsidP="008E0FCE">
      <w:pPr>
        <w:spacing w:line="360" w:lineRule="auto"/>
        <w:ind w:left="709" w:hanging="709"/>
        <w:jc w:val="both"/>
        <w:rPr>
          <w:rFonts w:ascii="Times New Roman" w:hAnsi="Times New Roman" w:cs="Times New Roman"/>
          <w:sz w:val="24"/>
          <w:szCs w:val="24"/>
        </w:rPr>
      </w:pPr>
      <w:r w:rsidRPr="000F0FEE">
        <w:rPr>
          <w:rFonts w:ascii="Times New Roman" w:hAnsi="Times New Roman" w:cs="Times New Roman"/>
          <w:sz w:val="24"/>
          <w:szCs w:val="24"/>
        </w:rPr>
        <w:t>López, A. (2020). Precios y pandemia le quitarían reservas de petróleo a la Nación. Disponible en: https://www.portafolio.co/economia/precios-y-pandemia-le-quitarian-reservas-de-petroleo-a-la-nacion-540681</w:t>
      </w:r>
    </w:p>
    <w:p w14:paraId="15D598A4" w14:textId="14237617" w:rsidR="008C1E97" w:rsidRPr="000F0FEE" w:rsidRDefault="008C1E97" w:rsidP="008E0FCE">
      <w:pPr>
        <w:spacing w:line="360" w:lineRule="auto"/>
        <w:ind w:left="709" w:hanging="709"/>
        <w:jc w:val="both"/>
        <w:rPr>
          <w:rFonts w:ascii="Times New Roman" w:hAnsi="Times New Roman" w:cs="Times New Roman"/>
          <w:sz w:val="24"/>
          <w:szCs w:val="24"/>
        </w:rPr>
      </w:pPr>
      <w:r w:rsidRPr="000F0FEE">
        <w:rPr>
          <w:rFonts w:ascii="Times New Roman" w:hAnsi="Times New Roman" w:cs="Times New Roman"/>
          <w:sz w:val="24"/>
          <w:szCs w:val="24"/>
        </w:rPr>
        <w:t>Pita-Fernández, S. Pértega-Díaz, S.</w:t>
      </w:r>
      <w:r w:rsidR="00240B81" w:rsidRPr="000F0FEE">
        <w:rPr>
          <w:rFonts w:ascii="Times New Roman" w:hAnsi="Times New Roman" w:cs="Times New Roman"/>
          <w:sz w:val="24"/>
          <w:szCs w:val="24"/>
        </w:rPr>
        <w:t xml:space="preserve"> (2021).</w:t>
      </w:r>
      <w:r w:rsidRPr="000F0FEE">
        <w:rPr>
          <w:rFonts w:ascii="Times New Roman" w:hAnsi="Times New Roman" w:cs="Times New Roman"/>
          <w:sz w:val="24"/>
          <w:szCs w:val="24"/>
        </w:rPr>
        <w:t xml:space="preserve"> Relación entre variables cuantitativas.</w:t>
      </w:r>
      <w:r w:rsidRPr="000F0FEE">
        <w:rPr>
          <w:rFonts w:ascii="Times New Roman" w:hAnsi="Times New Roman" w:cs="Times New Roman"/>
          <w:color w:val="000000"/>
          <w:sz w:val="24"/>
          <w:szCs w:val="24"/>
        </w:rPr>
        <w:t xml:space="preserve"> </w:t>
      </w:r>
      <w:r w:rsidR="00FC2750" w:rsidRPr="000F0FEE">
        <w:rPr>
          <w:rFonts w:ascii="Times New Roman" w:hAnsi="Times New Roman" w:cs="Times New Roman"/>
          <w:color w:val="000000"/>
          <w:sz w:val="24"/>
          <w:szCs w:val="24"/>
        </w:rPr>
        <w:t xml:space="preserve"> </w:t>
      </w:r>
      <w:r w:rsidRPr="000F0FEE">
        <w:rPr>
          <w:rFonts w:ascii="Times New Roman" w:hAnsi="Times New Roman" w:cs="Times New Roman"/>
          <w:color w:val="000000"/>
          <w:sz w:val="24"/>
          <w:szCs w:val="24"/>
        </w:rPr>
        <w:t xml:space="preserve"> Disponible en: </w:t>
      </w:r>
      <w:r w:rsidRPr="000F0FEE">
        <w:rPr>
          <w:rFonts w:ascii="Times New Roman" w:hAnsi="Times New Roman" w:cs="Times New Roman"/>
          <w:sz w:val="24"/>
          <w:szCs w:val="24"/>
        </w:rPr>
        <w:t xml:space="preserve"> </w:t>
      </w:r>
      <w:hyperlink r:id="rId13" w:history="1">
        <w:r w:rsidR="008766B2" w:rsidRPr="000F0FEE">
          <w:rPr>
            <w:rStyle w:val="Hipervnculo"/>
            <w:rFonts w:ascii="Times New Roman" w:hAnsi="Times New Roman" w:cs="Times New Roman"/>
            <w:sz w:val="24"/>
            <w:szCs w:val="24"/>
          </w:rPr>
          <w:t>https://www.fisterra.com/formacion/metodologia-investigacion/relacion-entre-variables-cuantitativas/</w:t>
        </w:r>
      </w:hyperlink>
    </w:p>
    <w:p w14:paraId="5EEE4302" w14:textId="77777777" w:rsidR="008766B2" w:rsidRPr="000F0FEE" w:rsidRDefault="008766B2" w:rsidP="008766B2">
      <w:pPr>
        <w:spacing w:line="360" w:lineRule="auto"/>
        <w:ind w:left="709" w:hanging="709"/>
        <w:rPr>
          <w:rFonts w:ascii="Times New Roman" w:hAnsi="Times New Roman" w:cs="Times New Roman"/>
          <w:sz w:val="24"/>
          <w:szCs w:val="24"/>
        </w:rPr>
      </w:pPr>
      <w:r w:rsidRPr="000F0FEE">
        <w:rPr>
          <w:rFonts w:ascii="Times New Roman" w:hAnsi="Times New Roman" w:cs="Times New Roman"/>
          <w:sz w:val="24"/>
          <w:szCs w:val="24"/>
        </w:rPr>
        <w:t>SEMANA. (2022). Precio del petróleo bajó por ola de contagios de COVID-19 en China. Disponible en: https://bit.ly/3qhWTGQ</w:t>
      </w:r>
    </w:p>
    <w:p w14:paraId="3E4D9B61" w14:textId="5C0D5D91" w:rsidR="008C1E97" w:rsidRPr="000F0FEE" w:rsidRDefault="008C1E97" w:rsidP="008E0FCE">
      <w:pPr>
        <w:spacing w:line="360" w:lineRule="auto"/>
        <w:ind w:left="709" w:hanging="709"/>
        <w:jc w:val="both"/>
        <w:rPr>
          <w:rFonts w:ascii="Times New Roman" w:hAnsi="Times New Roman" w:cs="Times New Roman"/>
          <w:sz w:val="24"/>
          <w:szCs w:val="24"/>
        </w:rPr>
      </w:pPr>
      <w:r w:rsidRPr="000F0FEE">
        <w:rPr>
          <w:rFonts w:ascii="Times New Roman" w:hAnsi="Times New Roman" w:cs="Times New Roman"/>
          <w:sz w:val="24"/>
          <w:szCs w:val="24"/>
        </w:rPr>
        <w:t>Suárez-Ibujes, M.</w:t>
      </w:r>
      <w:r w:rsidR="00240B81" w:rsidRPr="000F0FEE">
        <w:rPr>
          <w:rFonts w:ascii="Times New Roman" w:hAnsi="Times New Roman" w:cs="Times New Roman"/>
          <w:sz w:val="24"/>
          <w:szCs w:val="24"/>
        </w:rPr>
        <w:t xml:space="preserve"> (2021).</w:t>
      </w:r>
      <w:r w:rsidRPr="000F0FEE">
        <w:rPr>
          <w:rFonts w:ascii="Times New Roman" w:hAnsi="Times New Roman" w:cs="Times New Roman"/>
          <w:sz w:val="24"/>
          <w:szCs w:val="24"/>
        </w:rPr>
        <w:t xml:space="preserve">  Coeficiente de correlación de Karl Pearson.</w:t>
      </w:r>
      <w:r w:rsidR="00240B81" w:rsidRPr="000F0FEE">
        <w:rPr>
          <w:rFonts w:ascii="Times New Roman" w:hAnsi="Times New Roman" w:cs="Times New Roman"/>
          <w:sz w:val="24"/>
          <w:szCs w:val="24"/>
        </w:rPr>
        <w:t xml:space="preserve"> </w:t>
      </w:r>
      <w:r w:rsidRPr="000F0FEE">
        <w:rPr>
          <w:rFonts w:ascii="Times New Roman" w:hAnsi="Times New Roman" w:cs="Times New Roman"/>
          <w:color w:val="000000"/>
          <w:sz w:val="24"/>
          <w:szCs w:val="24"/>
        </w:rPr>
        <w:t xml:space="preserve">Disponible en: </w:t>
      </w:r>
      <w:r w:rsidRPr="000F0FEE">
        <w:rPr>
          <w:rFonts w:ascii="Times New Roman" w:hAnsi="Times New Roman" w:cs="Times New Roman"/>
          <w:sz w:val="24"/>
          <w:szCs w:val="24"/>
        </w:rPr>
        <w:t>https://www.monografias.com/trabajos85/coeficiente-correlacion-karl-pearson/coeficiente-correlacion-karl-pearson.shtml</w:t>
      </w:r>
    </w:p>
    <w:p w14:paraId="150DED79" w14:textId="77777777" w:rsidR="00CE0894" w:rsidRPr="000F0FEE" w:rsidRDefault="00CE0894" w:rsidP="008E0FCE">
      <w:pPr>
        <w:spacing w:line="360" w:lineRule="auto"/>
        <w:ind w:left="709" w:hanging="709"/>
        <w:jc w:val="both"/>
        <w:rPr>
          <w:rFonts w:ascii="Times New Roman" w:hAnsi="Times New Roman" w:cs="Times New Roman"/>
          <w:sz w:val="24"/>
          <w:szCs w:val="24"/>
        </w:rPr>
      </w:pPr>
    </w:p>
    <w:p w14:paraId="72FF0239" w14:textId="4C97249F" w:rsidR="003E6173" w:rsidRPr="000F0FEE" w:rsidRDefault="003E6173" w:rsidP="008E0FCE">
      <w:pPr>
        <w:spacing w:line="360" w:lineRule="auto"/>
        <w:ind w:left="709" w:hanging="709"/>
        <w:jc w:val="both"/>
        <w:rPr>
          <w:rFonts w:ascii="Times New Roman" w:hAnsi="Times New Roman" w:cs="Times New Roman"/>
          <w:sz w:val="24"/>
          <w:szCs w:val="24"/>
        </w:rPr>
      </w:pPr>
    </w:p>
    <w:p w14:paraId="74C8CAB1" w14:textId="29793D96" w:rsidR="0080633E" w:rsidRPr="000F0FEE" w:rsidRDefault="0080633E" w:rsidP="008E0FCE">
      <w:pPr>
        <w:shd w:val="clear" w:color="auto" w:fill="FFFFFF"/>
        <w:spacing w:after="0" w:line="360" w:lineRule="auto"/>
        <w:ind w:left="709" w:hanging="709"/>
        <w:jc w:val="both"/>
        <w:rPr>
          <w:rFonts w:ascii="Times New Roman" w:hAnsi="Times New Roman" w:cs="Times New Roman"/>
          <w:sz w:val="24"/>
          <w:szCs w:val="24"/>
        </w:rPr>
      </w:pPr>
    </w:p>
    <w:sectPr w:rsidR="0080633E" w:rsidRPr="000F0FE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C0D26"/>
    <w:multiLevelType w:val="hybridMultilevel"/>
    <w:tmpl w:val="F5AA376E"/>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78400F70"/>
    <w:multiLevelType w:val="hybridMultilevel"/>
    <w:tmpl w:val="4D1448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C9C5149"/>
    <w:multiLevelType w:val="hybridMultilevel"/>
    <w:tmpl w:val="D26868D6"/>
    <w:lvl w:ilvl="0" w:tplc="B03EC046">
      <w:start w:val="1"/>
      <w:numFmt w:val="decimal"/>
      <w:lvlText w:val="%1."/>
      <w:lvlJc w:val="left"/>
      <w:pPr>
        <w:ind w:left="720" w:hanging="360"/>
      </w:pPr>
      <w:rPr>
        <w:rFonts w:asciiTheme="minorHAnsi" w:hAnsiTheme="minorHAnsi" w:cstheme="minorBidi" w:hint="default"/>
        <w:b w:val="0"/>
        <w:sz w:val="2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609897916">
    <w:abstractNumId w:val="2"/>
  </w:num>
  <w:num w:numId="2" w16cid:durableId="1682773931">
    <w:abstractNumId w:val="1"/>
  </w:num>
  <w:num w:numId="3" w16cid:durableId="2135981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EDF"/>
    <w:rsid w:val="00013E45"/>
    <w:rsid w:val="00025B17"/>
    <w:rsid w:val="00056ACA"/>
    <w:rsid w:val="000630D6"/>
    <w:rsid w:val="000658EB"/>
    <w:rsid w:val="00091742"/>
    <w:rsid w:val="000B5C6B"/>
    <w:rsid w:val="000B773F"/>
    <w:rsid w:val="000C75CC"/>
    <w:rsid w:val="000D7058"/>
    <w:rsid w:val="000E3A85"/>
    <w:rsid w:val="000E6E60"/>
    <w:rsid w:val="000F0FEE"/>
    <w:rsid w:val="0010388F"/>
    <w:rsid w:val="001278B6"/>
    <w:rsid w:val="001411F7"/>
    <w:rsid w:val="001677DF"/>
    <w:rsid w:val="00180E66"/>
    <w:rsid w:val="00182239"/>
    <w:rsid w:val="00185AE6"/>
    <w:rsid w:val="001B5009"/>
    <w:rsid w:val="001C6F70"/>
    <w:rsid w:val="00205119"/>
    <w:rsid w:val="00206656"/>
    <w:rsid w:val="00233DA1"/>
    <w:rsid w:val="00237C05"/>
    <w:rsid w:val="0024070B"/>
    <w:rsid w:val="00240B81"/>
    <w:rsid w:val="00271BF9"/>
    <w:rsid w:val="00273BE8"/>
    <w:rsid w:val="002A4CA1"/>
    <w:rsid w:val="002E47B0"/>
    <w:rsid w:val="002E75C2"/>
    <w:rsid w:val="002F17E9"/>
    <w:rsid w:val="00316588"/>
    <w:rsid w:val="003172C7"/>
    <w:rsid w:val="00332999"/>
    <w:rsid w:val="0034640E"/>
    <w:rsid w:val="00352642"/>
    <w:rsid w:val="00361254"/>
    <w:rsid w:val="00361803"/>
    <w:rsid w:val="00371F04"/>
    <w:rsid w:val="00373DD7"/>
    <w:rsid w:val="003831F9"/>
    <w:rsid w:val="003838B4"/>
    <w:rsid w:val="003B44BF"/>
    <w:rsid w:val="003E344A"/>
    <w:rsid w:val="003E6173"/>
    <w:rsid w:val="003F0608"/>
    <w:rsid w:val="004021AF"/>
    <w:rsid w:val="00403C64"/>
    <w:rsid w:val="00405C53"/>
    <w:rsid w:val="00445BB0"/>
    <w:rsid w:val="004506C6"/>
    <w:rsid w:val="00453A4F"/>
    <w:rsid w:val="00453AE8"/>
    <w:rsid w:val="00463566"/>
    <w:rsid w:val="00485276"/>
    <w:rsid w:val="004A4F6F"/>
    <w:rsid w:val="004D43CF"/>
    <w:rsid w:val="005004AA"/>
    <w:rsid w:val="0053220B"/>
    <w:rsid w:val="00544301"/>
    <w:rsid w:val="00545A92"/>
    <w:rsid w:val="005513F1"/>
    <w:rsid w:val="00557B6E"/>
    <w:rsid w:val="00577F1B"/>
    <w:rsid w:val="00590CE1"/>
    <w:rsid w:val="005B325A"/>
    <w:rsid w:val="005B66A0"/>
    <w:rsid w:val="005C469C"/>
    <w:rsid w:val="005D0A5A"/>
    <w:rsid w:val="005F1510"/>
    <w:rsid w:val="00606F9E"/>
    <w:rsid w:val="00615CF5"/>
    <w:rsid w:val="00623CB1"/>
    <w:rsid w:val="00631CA7"/>
    <w:rsid w:val="0064317A"/>
    <w:rsid w:val="006522CF"/>
    <w:rsid w:val="00653565"/>
    <w:rsid w:val="00672B17"/>
    <w:rsid w:val="006C4EB6"/>
    <w:rsid w:val="006C514D"/>
    <w:rsid w:val="006D3214"/>
    <w:rsid w:val="006D52F0"/>
    <w:rsid w:val="00704A2F"/>
    <w:rsid w:val="0072240D"/>
    <w:rsid w:val="00731125"/>
    <w:rsid w:val="00732567"/>
    <w:rsid w:val="00744337"/>
    <w:rsid w:val="00750D07"/>
    <w:rsid w:val="00774513"/>
    <w:rsid w:val="00780034"/>
    <w:rsid w:val="00780EDF"/>
    <w:rsid w:val="007949A3"/>
    <w:rsid w:val="007D2CDC"/>
    <w:rsid w:val="007E6862"/>
    <w:rsid w:val="008042D4"/>
    <w:rsid w:val="0080633E"/>
    <w:rsid w:val="00833977"/>
    <w:rsid w:val="00845757"/>
    <w:rsid w:val="00857AC0"/>
    <w:rsid w:val="008766B2"/>
    <w:rsid w:val="008919E7"/>
    <w:rsid w:val="008A5CC1"/>
    <w:rsid w:val="008C1E97"/>
    <w:rsid w:val="008D7103"/>
    <w:rsid w:val="008E0FCE"/>
    <w:rsid w:val="00906935"/>
    <w:rsid w:val="009321E3"/>
    <w:rsid w:val="00940E62"/>
    <w:rsid w:val="009655A8"/>
    <w:rsid w:val="00966626"/>
    <w:rsid w:val="00994C70"/>
    <w:rsid w:val="00995649"/>
    <w:rsid w:val="00997DC1"/>
    <w:rsid w:val="009A31DA"/>
    <w:rsid w:val="009C2D81"/>
    <w:rsid w:val="00A119FA"/>
    <w:rsid w:val="00A34512"/>
    <w:rsid w:val="00A442A4"/>
    <w:rsid w:val="00A64C3D"/>
    <w:rsid w:val="00A92B0C"/>
    <w:rsid w:val="00AC35D3"/>
    <w:rsid w:val="00B17484"/>
    <w:rsid w:val="00B30164"/>
    <w:rsid w:val="00B54771"/>
    <w:rsid w:val="00B65FBF"/>
    <w:rsid w:val="00B668D4"/>
    <w:rsid w:val="00B752C3"/>
    <w:rsid w:val="00B83C53"/>
    <w:rsid w:val="00B9395A"/>
    <w:rsid w:val="00BC1324"/>
    <w:rsid w:val="00BD0499"/>
    <w:rsid w:val="00C01A02"/>
    <w:rsid w:val="00C11841"/>
    <w:rsid w:val="00C30382"/>
    <w:rsid w:val="00CA584D"/>
    <w:rsid w:val="00CB6257"/>
    <w:rsid w:val="00CE0894"/>
    <w:rsid w:val="00CF06F4"/>
    <w:rsid w:val="00CF20DA"/>
    <w:rsid w:val="00D00344"/>
    <w:rsid w:val="00D0374A"/>
    <w:rsid w:val="00D46D8B"/>
    <w:rsid w:val="00D538F9"/>
    <w:rsid w:val="00D8384D"/>
    <w:rsid w:val="00D8684B"/>
    <w:rsid w:val="00D96CBB"/>
    <w:rsid w:val="00DA591E"/>
    <w:rsid w:val="00DD21E3"/>
    <w:rsid w:val="00DD59BD"/>
    <w:rsid w:val="00DE24DC"/>
    <w:rsid w:val="00DE61E2"/>
    <w:rsid w:val="00DF411D"/>
    <w:rsid w:val="00E01076"/>
    <w:rsid w:val="00E13153"/>
    <w:rsid w:val="00E50976"/>
    <w:rsid w:val="00E545FF"/>
    <w:rsid w:val="00EB0294"/>
    <w:rsid w:val="00EB176E"/>
    <w:rsid w:val="00EB6DD9"/>
    <w:rsid w:val="00ED1E44"/>
    <w:rsid w:val="00EE6802"/>
    <w:rsid w:val="00EF1DEE"/>
    <w:rsid w:val="00F310E3"/>
    <w:rsid w:val="00F47200"/>
    <w:rsid w:val="00F47A62"/>
    <w:rsid w:val="00F5369D"/>
    <w:rsid w:val="00F63A4D"/>
    <w:rsid w:val="00F71F68"/>
    <w:rsid w:val="00F8639C"/>
    <w:rsid w:val="00F96FF3"/>
    <w:rsid w:val="00FB4C5B"/>
    <w:rsid w:val="00FC2750"/>
    <w:rsid w:val="00FC4B2C"/>
    <w:rsid w:val="00FC62F0"/>
    <w:rsid w:val="00FD5482"/>
    <w:rsid w:val="00FF6B3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FC454"/>
  <w15:chartTrackingRefBased/>
  <w15:docId w15:val="{9672B85B-0A44-4A52-ACA0-A1D2CF420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780E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next w:val="Normal"/>
    <w:link w:val="Ttulo2Car"/>
    <w:uiPriority w:val="99"/>
    <w:unhideWhenUsed/>
    <w:qFormat/>
    <w:rsid w:val="0080633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80EDF"/>
    <w:rPr>
      <w:rFonts w:ascii="Times New Roman" w:eastAsia="Times New Roman" w:hAnsi="Times New Roman" w:cs="Times New Roman"/>
      <w:b/>
      <w:bCs/>
      <w:kern w:val="36"/>
      <w:sz w:val="48"/>
      <w:szCs w:val="48"/>
      <w:lang w:eastAsia="es-CO"/>
    </w:rPr>
  </w:style>
  <w:style w:type="character" w:styleId="Hipervnculo">
    <w:name w:val="Hyperlink"/>
    <w:basedOn w:val="Fuentedeprrafopredeter"/>
    <w:uiPriority w:val="99"/>
    <w:unhideWhenUsed/>
    <w:rsid w:val="00332999"/>
    <w:rPr>
      <w:color w:val="0563C1" w:themeColor="hyperlink"/>
      <w:u w:val="single"/>
    </w:rPr>
  </w:style>
  <w:style w:type="character" w:styleId="Mencinsinresolver">
    <w:name w:val="Unresolved Mention"/>
    <w:basedOn w:val="Fuentedeprrafopredeter"/>
    <w:uiPriority w:val="99"/>
    <w:semiHidden/>
    <w:unhideWhenUsed/>
    <w:rsid w:val="00332999"/>
    <w:rPr>
      <w:color w:val="605E5C"/>
      <w:shd w:val="clear" w:color="auto" w:fill="E1DFDD"/>
    </w:rPr>
  </w:style>
  <w:style w:type="paragraph" w:styleId="Prrafodelista">
    <w:name w:val="List Paragraph"/>
    <w:basedOn w:val="Normal"/>
    <w:uiPriority w:val="34"/>
    <w:qFormat/>
    <w:rsid w:val="00AC35D3"/>
    <w:pPr>
      <w:ind w:left="720"/>
      <w:contextualSpacing/>
    </w:pPr>
  </w:style>
  <w:style w:type="character" w:customStyle="1" w:styleId="Ttulo2Car">
    <w:name w:val="Título 2 Car"/>
    <w:basedOn w:val="Fuentedeprrafopredeter"/>
    <w:link w:val="Ttulo2"/>
    <w:uiPriority w:val="99"/>
    <w:rsid w:val="0080633E"/>
    <w:rPr>
      <w:rFonts w:asciiTheme="majorHAnsi" w:eastAsiaTheme="majorEastAsia" w:hAnsiTheme="majorHAnsi" w:cstheme="majorBidi"/>
      <w:color w:val="2F5496" w:themeColor="accent1" w:themeShade="BF"/>
      <w:sz w:val="26"/>
      <w:szCs w:val="26"/>
    </w:rPr>
  </w:style>
  <w:style w:type="paragraph" w:styleId="Textoindependiente">
    <w:name w:val="Body Text"/>
    <w:basedOn w:val="Normal"/>
    <w:link w:val="TextoindependienteCar"/>
    <w:uiPriority w:val="99"/>
    <w:unhideWhenUsed/>
    <w:rsid w:val="0080633E"/>
    <w:pPr>
      <w:spacing w:after="120"/>
    </w:pPr>
  </w:style>
  <w:style w:type="character" w:customStyle="1" w:styleId="TextoindependienteCar">
    <w:name w:val="Texto independiente Car"/>
    <w:basedOn w:val="Fuentedeprrafopredeter"/>
    <w:link w:val="Textoindependiente"/>
    <w:uiPriority w:val="99"/>
    <w:rsid w:val="0080633E"/>
  </w:style>
  <w:style w:type="paragraph" w:styleId="NormalWeb">
    <w:name w:val="Normal (Web)"/>
    <w:basedOn w:val="Normal"/>
    <w:uiPriority w:val="99"/>
    <w:unhideWhenUsed/>
    <w:rsid w:val="0080633E"/>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section">
    <w:name w:val="section"/>
    <w:basedOn w:val="Normal"/>
    <w:rsid w:val="00994C7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E6E60"/>
    <w:rPr>
      <w:b/>
      <w:bCs/>
    </w:rPr>
  </w:style>
  <w:style w:type="character" w:customStyle="1" w:styleId="value">
    <w:name w:val="value"/>
    <w:basedOn w:val="Fuentedeprrafopredeter"/>
    <w:rsid w:val="00D46D8B"/>
  </w:style>
  <w:style w:type="character" w:styleId="nfasis">
    <w:name w:val="Emphasis"/>
    <w:basedOn w:val="Fuentedeprrafopredeter"/>
    <w:uiPriority w:val="20"/>
    <w:qFormat/>
    <w:rsid w:val="00233DA1"/>
    <w:rPr>
      <w:i/>
      <w:iCs/>
    </w:rPr>
  </w:style>
  <w:style w:type="paragraph" w:customStyle="1" w:styleId="Default">
    <w:name w:val="Default"/>
    <w:rsid w:val="0048527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41937">
      <w:bodyDiv w:val="1"/>
      <w:marLeft w:val="0"/>
      <w:marRight w:val="0"/>
      <w:marTop w:val="0"/>
      <w:marBottom w:val="0"/>
      <w:divBdr>
        <w:top w:val="none" w:sz="0" w:space="0" w:color="auto"/>
        <w:left w:val="none" w:sz="0" w:space="0" w:color="auto"/>
        <w:bottom w:val="none" w:sz="0" w:space="0" w:color="auto"/>
        <w:right w:val="none" w:sz="0" w:space="0" w:color="auto"/>
      </w:divBdr>
    </w:div>
    <w:div w:id="55589110">
      <w:bodyDiv w:val="1"/>
      <w:marLeft w:val="0"/>
      <w:marRight w:val="0"/>
      <w:marTop w:val="0"/>
      <w:marBottom w:val="0"/>
      <w:divBdr>
        <w:top w:val="none" w:sz="0" w:space="0" w:color="auto"/>
        <w:left w:val="none" w:sz="0" w:space="0" w:color="auto"/>
        <w:bottom w:val="none" w:sz="0" w:space="0" w:color="auto"/>
        <w:right w:val="none" w:sz="0" w:space="0" w:color="auto"/>
      </w:divBdr>
    </w:div>
    <w:div w:id="120613448">
      <w:bodyDiv w:val="1"/>
      <w:marLeft w:val="0"/>
      <w:marRight w:val="0"/>
      <w:marTop w:val="0"/>
      <w:marBottom w:val="0"/>
      <w:divBdr>
        <w:top w:val="none" w:sz="0" w:space="0" w:color="auto"/>
        <w:left w:val="none" w:sz="0" w:space="0" w:color="auto"/>
        <w:bottom w:val="none" w:sz="0" w:space="0" w:color="auto"/>
        <w:right w:val="none" w:sz="0" w:space="0" w:color="auto"/>
      </w:divBdr>
    </w:div>
    <w:div w:id="235018616">
      <w:bodyDiv w:val="1"/>
      <w:marLeft w:val="0"/>
      <w:marRight w:val="0"/>
      <w:marTop w:val="0"/>
      <w:marBottom w:val="0"/>
      <w:divBdr>
        <w:top w:val="none" w:sz="0" w:space="0" w:color="auto"/>
        <w:left w:val="none" w:sz="0" w:space="0" w:color="auto"/>
        <w:bottom w:val="none" w:sz="0" w:space="0" w:color="auto"/>
        <w:right w:val="none" w:sz="0" w:space="0" w:color="auto"/>
      </w:divBdr>
    </w:div>
    <w:div w:id="251207029">
      <w:bodyDiv w:val="1"/>
      <w:marLeft w:val="0"/>
      <w:marRight w:val="0"/>
      <w:marTop w:val="0"/>
      <w:marBottom w:val="0"/>
      <w:divBdr>
        <w:top w:val="none" w:sz="0" w:space="0" w:color="auto"/>
        <w:left w:val="none" w:sz="0" w:space="0" w:color="auto"/>
        <w:bottom w:val="none" w:sz="0" w:space="0" w:color="auto"/>
        <w:right w:val="none" w:sz="0" w:space="0" w:color="auto"/>
      </w:divBdr>
    </w:div>
    <w:div w:id="355614869">
      <w:bodyDiv w:val="1"/>
      <w:marLeft w:val="0"/>
      <w:marRight w:val="0"/>
      <w:marTop w:val="0"/>
      <w:marBottom w:val="0"/>
      <w:divBdr>
        <w:top w:val="none" w:sz="0" w:space="0" w:color="auto"/>
        <w:left w:val="none" w:sz="0" w:space="0" w:color="auto"/>
        <w:bottom w:val="none" w:sz="0" w:space="0" w:color="auto"/>
        <w:right w:val="none" w:sz="0" w:space="0" w:color="auto"/>
      </w:divBdr>
    </w:div>
    <w:div w:id="568729926">
      <w:bodyDiv w:val="1"/>
      <w:marLeft w:val="0"/>
      <w:marRight w:val="0"/>
      <w:marTop w:val="0"/>
      <w:marBottom w:val="0"/>
      <w:divBdr>
        <w:top w:val="none" w:sz="0" w:space="0" w:color="auto"/>
        <w:left w:val="none" w:sz="0" w:space="0" w:color="auto"/>
        <w:bottom w:val="none" w:sz="0" w:space="0" w:color="auto"/>
        <w:right w:val="none" w:sz="0" w:space="0" w:color="auto"/>
      </w:divBdr>
    </w:div>
    <w:div w:id="595867758">
      <w:bodyDiv w:val="1"/>
      <w:marLeft w:val="0"/>
      <w:marRight w:val="0"/>
      <w:marTop w:val="0"/>
      <w:marBottom w:val="0"/>
      <w:divBdr>
        <w:top w:val="none" w:sz="0" w:space="0" w:color="auto"/>
        <w:left w:val="none" w:sz="0" w:space="0" w:color="auto"/>
        <w:bottom w:val="none" w:sz="0" w:space="0" w:color="auto"/>
        <w:right w:val="none" w:sz="0" w:space="0" w:color="auto"/>
      </w:divBdr>
    </w:div>
    <w:div w:id="734666444">
      <w:bodyDiv w:val="1"/>
      <w:marLeft w:val="0"/>
      <w:marRight w:val="0"/>
      <w:marTop w:val="0"/>
      <w:marBottom w:val="0"/>
      <w:divBdr>
        <w:top w:val="none" w:sz="0" w:space="0" w:color="auto"/>
        <w:left w:val="none" w:sz="0" w:space="0" w:color="auto"/>
        <w:bottom w:val="none" w:sz="0" w:space="0" w:color="auto"/>
        <w:right w:val="none" w:sz="0" w:space="0" w:color="auto"/>
      </w:divBdr>
      <w:divsChild>
        <w:div w:id="1906258675">
          <w:marLeft w:val="0"/>
          <w:marRight w:val="0"/>
          <w:marTop w:val="15"/>
          <w:marBottom w:val="0"/>
          <w:divBdr>
            <w:top w:val="single" w:sz="48" w:space="0" w:color="auto"/>
            <w:left w:val="single" w:sz="48" w:space="0" w:color="auto"/>
            <w:bottom w:val="single" w:sz="48" w:space="0" w:color="auto"/>
            <w:right w:val="single" w:sz="48" w:space="0" w:color="auto"/>
          </w:divBdr>
          <w:divsChild>
            <w:div w:id="122351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2566">
      <w:bodyDiv w:val="1"/>
      <w:marLeft w:val="0"/>
      <w:marRight w:val="0"/>
      <w:marTop w:val="0"/>
      <w:marBottom w:val="0"/>
      <w:divBdr>
        <w:top w:val="none" w:sz="0" w:space="0" w:color="auto"/>
        <w:left w:val="none" w:sz="0" w:space="0" w:color="auto"/>
        <w:bottom w:val="none" w:sz="0" w:space="0" w:color="auto"/>
        <w:right w:val="none" w:sz="0" w:space="0" w:color="auto"/>
      </w:divBdr>
      <w:divsChild>
        <w:div w:id="1205286524">
          <w:marLeft w:val="0"/>
          <w:marRight w:val="0"/>
          <w:marTop w:val="15"/>
          <w:marBottom w:val="0"/>
          <w:divBdr>
            <w:top w:val="single" w:sz="48" w:space="0" w:color="auto"/>
            <w:left w:val="single" w:sz="48" w:space="0" w:color="auto"/>
            <w:bottom w:val="single" w:sz="48" w:space="0" w:color="auto"/>
            <w:right w:val="single" w:sz="48" w:space="0" w:color="auto"/>
          </w:divBdr>
          <w:divsChild>
            <w:div w:id="44191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876728">
      <w:bodyDiv w:val="1"/>
      <w:marLeft w:val="0"/>
      <w:marRight w:val="0"/>
      <w:marTop w:val="0"/>
      <w:marBottom w:val="0"/>
      <w:divBdr>
        <w:top w:val="none" w:sz="0" w:space="0" w:color="auto"/>
        <w:left w:val="none" w:sz="0" w:space="0" w:color="auto"/>
        <w:bottom w:val="none" w:sz="0" w:space="0" w:color="auto"/>
        <w:right w:val="none" w:sz="0" w:space="0" w:color="auto"/>
      </w:divBdr>
    </w:div>
    <w:div w:id="1040084065">
      <w:bodyDiv w:val="1"/>
      <w:marLeft w:val="0"/>
      <w:marRight w:val="0"/>
      <w:marTop w:val="0"/>
      <w:marBottom w:val="0"/>
      <w:divBdr>
        <w:top w:val="none" w:sz="0" w:space="0" w:color="auto"/>
        <w:left w:val="none" w:sz="0" w:space="0" w:color="auto"/>
        <w:bottom w:val="none" w:sz="0" w:space="0" w:color="auto"/>
        <w:right w:val="none" w:sz="0" w:space="0" w:color="auto"/>
      </w:divBdr>
    </w:div>
    <w:div w:id="1077827272">
      <w:bodyDiv w:val="1"/>
      <w:marLeft w:val="0"/>
      <w:marRight w:val="0"/>
      <w:marTop w:val="0"/>
      <w:marBottom w:val="0"/>
      <w:divBdr>
        <w:top w:val="none" w:sz="0" w:space="0" w:color="auto"/>
        <w:left w:val="none" w:sz="0" w:space="0" w:color="auto"/>
        <w:bottom w:val="none" w:sz="0" w:space="0" w:color="auto"/>
        <w:right w:val="none" w:sz="0" w:space="0" w:color="auto"/>
      </w:divBdr>
    </w:div>
    <w:div w:id="1194460973">
      <w:bodyDiv w:val="1"/>
      <w:marLeft w:val="0"/>
      <w:marRight w:val="0"/>
      <w:marTop w:val="0"/>
      <w:marBottom w:val="0"/>
      <w:divBdr>
        <w:top w:val="none" w:sz="0" w:space="0" w:color="auto"/>
        <w:left w:val="none" w:sz="0" w:space="0" w:color="auto"/>
        <w:bottom w:val="none" w:sz="0" w:space="0" w:color="auto"/>
        <w:right w:val="none" w:sz="0" w:space="0" w:color="auto"/>
      </w:divBdr>
    </w:div>
    <w:div w:id="1215040687">
      <w:bodyDiv w:val="1"/>
      <w:marLeft w:val="0"/>
      <w:marRight w:val="0"/>
      <w:marTop w:val="0"/>
      <w:marBottom w:val="0"/>
      <w:divBdr>
        <w:top w:val="none" w:sz="0" w:space="0" w:color="auto"/>
        <w:left w:val="none" w:sz="0" w:space="0" w:color="auto"/>
        <w:bottom w:val="none" w:sz="0" w:space="0" w:color="auto"/>
        <w:right w:val="none" w:sz="0" w:space="0" w:color="auto"/>
      </w:divBdr>
      <w:divsChild>
        <w:div w:id="927077206">
          <w:marLeft w:val="0"/>
          <w:marRight w:val="0"/>
          <w:marTop w:val="0"/>
          <w:marBottom w:val="120"/>
          <w:divBdr>
            <w:top w:val="none" w:sz="0" w:space="0" w:color="auto"/>
            <w:left w:val="none" w:sz="0" w:space="0" w:color="auto"/>
            <w:bottom w:val="none" w:sz="0" w:space="0" w:color="auto"/>
            <w:right w:val="none" w:sz="0" w:space="0" w:color="auto"/>
          </w:divBdr>
          <w:divsChild>
            <w:div w:id="22232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2325">
      <w:bodyDiv w:val="1"/>
      <w:marLeft w:val="0"/>
      <w:marRight w:val="0"/>
      <w:marTop w:val="0"/>
      <w:marBottom w:val="0"/>
      <w:divBdr>
        <w:top w:val="none" w:sz="0" w:space="0" w:color="auto"/>
        <w:left w:val="none" w:sz="0" w:space="0" w:color="auto"/>
        <w:bottom w:val="none" w:sz="0" w:space="0" w:color="auto"/>
        <w:right w:val="none" w:sz="0" w:space="0" w:color="auto"/>
      </w:divBdr>
    </w:div>
    <w:div w:id="1474639317">
      <w:bodyDiv w:val="1"/>
      <w:marLeft w:val="0"/>
      <w:marRight w:val="0"/>
      <w:marTop w:val="0"/>
      <w:marBottom w:val="0"/>
      <w:divBdr>
        <w:top w:val="none" w:sz="0" w:space="0" w:color="auto"/>
        <w:left w:val="none" w:sz="0" w:space="0" w:color="auto"/>
        <w:bottom w:val="none" w:sz="0" w:space="0" w:color="auto"/>
        <w:right w:val="none" w:sz="0" w:space="0" w:color="auto"/>
      </w:divBdr>
    </w:div>
    <w:div w:id="1537617637">
      <w:bodyDiv w:val="1"/>
      <w:marLeft w:val="0"/>
      <w:marRight w:val="0"/>
      <w:marTop w:val="0"/>
      <w:marBottom w:val="0"/>
      <w:divBdr>
        <w:top w:val="none" w:sz="0" w:space="0" w:color="auto"/>
        <w:left w:val="none" w:sz="0" w:space="0" w:color="auto"/>
        <w:bottom w:val="none" w:sz="0" w:space="0" w:color="auto"/>
        <w:right w:val="none" w:sz="0" w:space="0" w:color="auto"/>
      </w:divBdr>
    </w:div>
    <w:div w:id="1656257225">
      <w:bodyDiv w:val="1"/>
      <w:marLeft w:val="0"/>
      <w:marRight w:val="0"/>
      <w:marTop w:val="0"/>
      <w:marBottom w:val="0"/>
      <w:divBdr>
        <w:top w:val="none" w:sz="0" w:space="0" w:color="auto"/>
        <w:left w:val="none" w:sz="0" w:space="0" w:color="auto"/>
        <w:bottom w:val="none" w:sz="0" w:space="0" w:color="auto"/>
        <w:right w:val="none" w:sz="0" w:space="0" w:color="auto"/>
      </w:divBdr>
    </w:div>
    <w:div w:id="1664746272">
      <w:bodyDiv w:val="1"/>
      <w:marLeft w:val="0"/>
      <w:marRight w:val="0"/>
      <w:marTop w:val="0"/>
      <w:marBottom w:val="0"/>
      <w:divBdr>
        <w:top w:val="none" w:sz="0" w:space="0" w:color="auto"/>
        <w:left w:val="none" w:sz="0" w:space="0" w:color="auto"/>
        <w:bottom w:val="none" w:sz="0" w:space="0" w:color="auto"/>
        <w:right w:val="none" w:sz="0" w:space="0" w:color="auto"/>
      </w:divBdr>
    </w:div>
    <w:div w:id="195042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a.org/subscribe-to-data-services/world-energy-balances-and-statistics" TargetMode="External"/><Relationship Id="rId13" Type="http://schemas.openxmlformats.org/officeDocument/2006/relationships/hyperlink" Target="https://www.fisterra.com/formacion/metodologia-investigacion/relacion-entre-variables-cuantitativa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bit.ly/3wiN1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hyperlink" Target="https://es.investing.com/commodities/brent-oil-historical-data" TargetMode="External"/><Relationship Id="rId5" Type="http://schemas.openxmlformats.org/officeDocument/2006/relationships/chart" Target="charts/chart1.xml"/><Relationship Id="rId15" Type="http://schemas.openxmlformats.org/officeDocument/2006/relationships/theme" Target="theme/theme1.xml"/><Relationship Id="rId10" Type="http://schemas.openxmlformats.org/officeDocument/2006/relationships/hyperlink" Target="https://bestpractice.bmj.com/topics/es-es/3000201" TargetMode="External"/><Relationship Id="rId4" Type="http://schemas.openxmlformats.org/officeDocument/2006/relationships/webSettings" Target="webSettings.xml"/><Relationship Id="rId9" Type="http://schemas.openxmlformats.org/officeDocument/2006/relationships/hyperlink" Target="https://www.eia.gov/outlooks/steo/"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uario\Documents\RESPALDO\Desktop\MASTER-TEACHER\General-Santander\INV-SABER11\PETROLEO-BRENT\PETROLEO-BREN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uario\Documents\RESPALDO\Desktop\MASTER-TEACHER\General-Santander\INV-SABER11\PETROLEO-BRENT\PETROLEO-BRENT.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Incidencia!$I$1</c:f>
              <c:strCache>
                <c:ptCount val="1"/>
                <c:pt idx="0">
                  <c:v>Incidencia - COVID-19</c:v>
                </c:pt>
              </c:strCache>
            </c:strRef>
          </c:tx>
          <c:spPr>
            <a:ln w="28575" cap="rnd">
              <a:solidFill>
                <a:schemeClr val="accent1"/>
              </a:solidFill>
              <a:round/>
            </a:ln>
            <a:effectLst/>
          </c:spPr>
          <c:marker>
            <c:symbol val="none"/>
          </c:marker>
          <c:cat>
            <c:strRef>
              <c:f>Incidencia!$H$2:$H$23</c:f>
              <c:strCache>
                <c:ptCount val="22"/>
                <c:pt idx="0">
                  <c:v>Marzo</c:v>
                </c:pt>
                <c:pt idx="1">
                  <c:v>Abril</c:v>
                </c:pt>
                <c:pt idx="2">
                  <c:v>Mayo</c:v>
                </c:pt>
                <c:pt idx="3">
                  <c:v>Junio</c:v>
                </c:pt>
                <c:pt idx="4">
                  <c:v>Julio</c:v>
                </c:pt>
                <c:pt idx="5">
                  <c:v>Agosto</c:v>
                </c:pt>
                <c:pt idx="6">
                  <c:v>Septiembre</c:v>
                </c:pt>
                <c:pt idx="7">
                  <c:v>Octubre</c:v>
                </c:pt>
                <c:pt idx="8">
                  <c:v>Noviembre</c:v>
                </c:pt>
                <c:pt idx="9">
                  <c:v>Diciembre</c:v>
                </c:pt>
                <c:pt idx="10">
                  <c:v>Enero</c:v>
                </c:pt>
                <c:pt idx="11">
                  <c:v>Febrero</c:v>
                </c:pt>
                <c:pt idx="12">
                  <c:v>Marzo</c:v>
                </c:pt>
                <c:pt idx="13">
                  <c:v>Abril</c:v>
                </c:pt>
                <c:pt idx="14">
                  <c:v>Mayo</c:v>
                </c:pt>
                <c:pt idx="15">
                  <c:v>Junio</c:v>
                </c:pt>
                <c:pt idx="16">
                  <c:v>Julio</c:v>
                </c:pt>
                <c:pt idx="17">
                  <c:v>Agosto</c:v>
                </c:pt>
                <c:pt idx="18">
                  <c:v>Septiembre</c:v>
                </c:pt>
                <c:pt idx="19">
                  <c:v>Octubre</c:v>
                </c:pt>
                <c:pt idx="20">
                  <c:v>Noviembre</c:v>
                </c:pt>
                <c:pt idx="21">
                  <c:v>Diciembre</c:v>
                </c:pt>
              </c:strCache>
            </c:strRef>
          </c:cat>
          <c:val>
            <c:numRef>
              <c:f>Incidencia!$I$2:$I$23</c:f>
              <c:numCache>
                <c:formatCode>General</c:formatCode>
                <c:ptCount val="22"/>
                <c:pt idx="0">
                  <c:v>3.2</c:v>
                </c:pt>
                <c:pt idx="1">
                  <c:v>4.71</c:v>
                </c:pt>
                <c:pt idx="2">
                  <c:v>2.82</c:v>
                </c:pt>
                <c:pt idx="3">
                  <c:v>3.5</c:v>
                </c:pt>
                <c:pt idx="4">
                  <c:v>3.43</c:v>
                </c:pt>
                <c:pt idx="5">
                  <c:v>2.9</c:v>
                </c:pt>
                <c:pt idx="6">
                  <c:v>2.95</c:v>
                </c:pt>
                <c:pt idx="7">
                  <c:v>2.17</c:v>
                </c:pt>
                <c:pt idx="8">
                  <c:v>2.25</c:v>
                </c:pt>
                <c:pt idx="9">
                  <c:v>1.97</c:v>
                </c:pt>
                <c:pt idx="10">
                  <c:v>2.38</c:v>
                </c:pt>
                <c:pt idx="11">
                  <c:v>3.69</c:v>
                </c:pt>
                <c:pt idx="12">
                  <c:v>2.36</c:v>
                </c:pt>
                <c:pt idx="13">
                  <c:v>2.27</c:v>
                </c:pt>
                <c:pt idx="14">
                  <c:v>2.77</c:v>
                </c:pt>
                <c:pt idx="15">
                  <c:v>2.13</c:v>
                </c:pt>
                <c:pt idx="16">
                  <c:v>2.66</c:v>
                </c:pt>
                <c:pt idx="17">
                  <c:v>3.41</c:v>
                </c:pt>
                <c:pt idx="18">
                  <c:v>2.81</c:v>
                </c:pt>
                <c:pt idx="19">
                  <c:v>2.1800000000000002</c:v>
                </c:pt>
                <c:pt idx="20">
                  <c:v>1.85</c:v>
                </c:pt>
                <c:pt idx="21">
                  <c:v>1.61</c:v>
                </c:pt>
              </c:numCache>
            </c:numRef>
          </c:val>
          <c:smooth val="0"/>
          <c:extLst>
            <c:ext xmlns:c16="http://schemas.microsoft.com/office/drawing/2014/chart" uri="{C3380CC4-5D6E-409C-BE32-E72D297353CC}">
              <c16:uniqueId val="{00000000-FD46-4D2A-AE97-B3EA743D217E}"/>
            </c:ext>
          </c:extLst>
        </c:ser>
        <c:dLbls>
          <c:showLegendKey val="0"/>
          <c:showVal val="0"/>
          <c:showCatName val="0"/>
          <c:showSerName val="0"/>
          <c:showPercent val="0"/>
          <c:showBubbleSize val="0"/>
        </c:dLbls>
        <c:smooth val="0"/>
        <c:axId val="393581336"/>
        <c:axId val="393578712"/>
      </c:lineChart>
      <c:catAx>
        <c:axId val="39358133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O" b="1">
                    <a:solidFill>
                      <a:sysClr val="windowText" lastClr="000000"/>
                    </a:solidFill>
                  </a:rPr>
                  <a:t>Meses 2020-2021</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s-CO"/>
          </a:p>
        </c:txPr>
        <c:crossAx val="393578712"/>
        <c:crosses val="autoZero"/>
        <c:auto val="1"/>
        <c:lblAlgn val="ctr"/>
        <c:lblOffset val="100"/>
        <c:noMultiLvlLbl val="0"/>
      </c:catAx>
      <c:valAx>
        <c:axId val="3935787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O" b="1">
                    <a:solidFill>
                      <a:sysClr val="windowText" lastClr="000000"/>
                    </a:solidFill>
                  </a:rPr>
                  <a:t>Incidencia por COVID-19</a:t>
                </a:r>
              </a:p>
            </c:rich>
          </c:tx>
          <c:layout>
            <c:manualLayout>
              <c:xMode val="edge"/>
              <c:yMode val="edge"/>
              <c:x val="1.2033694344163659E-2"/>
              <c:y val="0.1616788456533753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s-CO"/>
          </a:p>
        </c:txPr>
        <c:crossAx val="3935813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Incidencia!$J$1</c:f>
              <c:strCache>
                <c:ptCount val="1"/>
                <c:pt idx="0">
                  <c:v>Petróleo-Brent</c:v>
                </c:pt>
              </c:strCache>
            </c:strRef>
          </c:tx>
          <c:spPr>
            <a:ln w="28575" cap="rnd">
              <a:solidFill>
                <a:schemeClr val="accent1"/>
              </a:solidFill>
              <a:round/>
            </a:ln>
            <a:effectLst/>
          </c:spPr>
          <c:marker>
            <c:symbol val="none"/>
          </c:marker>
          <c:cat>
            <c:strRef>
              <c:f>Incidencia!$H$2:$H$23</c:f>
              <c:strCache>
                <c:ptCount val="22"/>
                <c:pt idx="0">
                  <c:v>Marzo</c:v>
                </c:pt>
                <c:pt idx="1">
                  <c:v>Abril</c:v>
                </c:pt>
                <c:pt idx="2">
                  <c:v>Mayo</c:v>
                </c:pt>
                <c:pt idx="3">
                  <c:v>Junio</c:v>
                </c:pt>
                <c:pt idx="4">
                  <c:v>Julio</c:v>
                </c:pt>
                <c:pt idx="5">
                  <c:v>Agosto</c:v>
                </c:pt>
                <c:pt idx="6">
                  <c:v>Septiembre</c:v>
                </c:pt>
                <c:pt idx="7">
                  <c:v>Octubre</c:v>
                </c:pt>
                <c:pt idx="8">
                  <c:v>Noviembre</c:v>
                </c:pt>
                <c:pt idx="9">
                  <c:v>Diciembre</c:v>
                </c:pt>
                <c:pt idx="10">
                  <c:v>Enero</c:v>
                </c:pt>
                <c:pt idx="11">
                  <c:v>Febrero</c:v>
                </c:pt>
                <c:pt idx="12">
                  <c:v>Marzo</c:v>
                </c:pt>
                <c:pt idx="13">
                  <c:v>Abril</c:v>
                </c:pt>
                <c:pt idx="14">
                  <c:v>Mayo</c:v>
                </c:pt>
                <c:pt idx="15">
                  <c:v>Junio</c:v>
                </c:pt>
                <c:pt idx="16">
                  <c:v>Julio</c:v>
                </c:pt>
                <c:pt idx="17">
                  <c:v>Agosto</c:v>
                </c:pt>
                <c:pt idx="18">
                  <c:v>Septiembre</c:v>
                </c:pt>
                <c:pt idx="19">
                  <c:v>Octubre</c:v>
                </c:pt>
                <c:pt idx="20">
                  <c:v>Noviembre</c:v>
                </c:pt>
                <c:pt idx="21">
                  <c:v>Diciembre</c:v>
                </c:pt>
              </c:strCache>
            </c:strRef>
          </c:cat>
          <c:val>
            <c:numRef>
              <c:f>Incidencia!$J$2:$J$23</c:f>
              <c:numCache>
                <c:formatCode>0.00</c:formatCode>
                <c:ptCount val="22"/>
                <c:pt idx="0">
                  <c:v>29.842222222222226</c:v>
                </c:pt>
                <c:pt idx="1">
                  <c:v>26.631428571428575</c:v>
                </c:pt>
                <c:pt idx="2">
                  <c:v>32.411904761904772</c:v>
                </c:pt>
                <c:pt idx="3">
                  <c:v>40.772727272727266</c:v>
                </c:pt>
                <c:pt idx="4">
                  <c:v>43.222173913043477</c:v>
                </c:pt>
                <c:pt idx="5">
                  <c:v>45.019999999999996</c:v>
                </c:pt>
                <c:pt idx="6">
                  <c:v>41.873636363636365</c:v>
                </c:pt>
                <c:pt idx="7">
                  <c:v>41.524090909090916</c:v>
                </c:pt>
                <c:pt idx="8">
                  <c:v>43.980000000000004</c:v>
                </c:pt>
                <c:pt idx="9">
                  <c:v>50.218181818181826</c:v>
                </c:pt>
                <c:pt idx="10">
                  <c:v>55.321499999999993</c:v>
                </c:pt>
                <c:pt idx="11">
                  <c:v>62.281500000000008</c:v>
                </c:pt>
                <c:pt idx="12">
                  <c:v>65.702173913043481</c:v>
                </c:pt>
                <c:pt idx="13">
                  <c:v>65.328571428571436</c:v>
                </c:pt>
                <c:pt idx="14">
                  <c:v>68.309047619047604</c:v>
                </c:pt>
                <c:pt idx="15">
                  <c:v>73.408181818181816</c:v>
                </c:pt>
                <c:pt idx="16">
                  <c:v>74.293636363636367</c:v>
                </c:pt>
                <c:pt idx="17">
                  <c:v>70.513636363636365</c:v>
                </c:pt>
                <c:pt idx="18">
                  <c:v>74.876363636363635</c:v>
                </c:pt>
                <c:pt idx="19">
                  <c:v>83.746190476190478</c:v>
                </c:pt>
                <c:pt idx="20">
                  <c:v>80.849545454545463</c:v>
                </c:pt>
                <c:pt idx="21">
                  <c:v>74.803913043478275</c:v>
                </c:pt>
              </c:numCache>
            </c:numRef>
          </c:val>
          <c:smooth val="0"/>
          <c:extLst>
            <c:ext xmlns:c16="http://schemas.microsoft.com/office/drawing/2014/chart" uri="{C3380CC4-5D6E-409C-BE32-E72D297353CC}">
              <c16:uniqueId val="{00000000-E7F4-44BB-8DFF-98D34D739DA4}"/>
            </c:ext>
          </c:extLst>
        </c:ser>
        <c:dLbls>
          <c:showLegendKey val="0"/>
          <c:showVal val="0"/>
          <c:showCatName val="0"/>
          <c:showSerName val="0"/>
          <c:showPercent val="0"/>
          <c:showBubbleSize val="0"/>
        </c:dLbls>
        <c:smooth val="0"/>
        <c:axId val="393581992"/>
        <c:axId val="393582976"/>
      </c:lineChart>
      <c:catAx>
        <c:axId val="3935819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O" b="1">
                    <a:solidFill>
                      <a:sysClr val="windowText" lastClr="000000"/>
                    </a:solidFill>
                  </a:rPr>
                  <a:t>Meses 2020-2021</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s-CO"/>
          </a:p>
        </c:txPr>
        <c:crossAx val="393582976"/>
        <c:crosses val="autoZero"/>
        <c:auto val="1"/>
        <c:lblAlgn val="ctr"/>
        <c:lblOffset val="100"/>
        <c:noMultiLvlLbl val="0"/>
      </c:catAx>
      <c:valAx>
        <c:axId val="3935829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O" b="1">
                    <a:solidFill>
                      <a:sysClr val="windowText" lastClr="000000"/>
                    </a:solidFill>
                  </a:rPr>
                  <a:t>Precio petróleo Brent </a:t>
                </a:r>
              </a:p>
            </c:rich>
          </c:tx>
          <c:layout>
            <c:manualLayout>
              <c:xMode val="edge"/>
              <c:yMode val="edge"/>
              <c:x val="7.1428571428571426E-3"/>
              <c:y val="0.1950604063006744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s-CO"/>
          </a:p>
        </c:txPr>
        <c:crossAx val="3935819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573</TotalTime>
  <Pages>14</Pages>
  <Words>3223</Words>
  <Characters>17729</Characters>
  <Application>Microsoft Office Word</Application>
  <DocSecurity>0</DocSecurity>
  <Lines>147</Lines>
  <Paragraphs>41</Paragraphs>
  <ScaleCrop>false</ScaleCrop>
  <HeadingPairs>
    <vt:vector size="4" baseType="variant">
      <vt:variant>
        <vt:lpstr>Título</vt:lpstr>
      </vt:variant>
      <vt:variant>
        <vt:i4>1</vt:i4>
      </vt:variant>
      <vt:variant>
        <vt:lpstr>Títulos</vt:lpstr>
      </vt:variant>
      <vt:variant>
        <vt:i4>56</vt:i4>
      </vt:variant>
    </vt:vector>
  </HeadingPairs>
  <TitlesOfParts>
    <vt:vector size="57" baseType="lpstr">
      <vt:lpstr/>
      <vt:lpstr/>
      <vt:lpstr>ARTÍCULO DE INVESTIGACIÓN</vt:lpstr>
      <vt:lpstr/>
      <vt:lpstr/>
      <vt:lpstr/>
      <vt:lpstr/>
      <vt:lpstr>ANÁLISIS CORRELACIONAL DEL IMPACTO DEL COVID-19 EN EL CASO DE COLOMBIA FRENTE AL</vt:lpstr>
      <vt:lpstr>CORRELATIONAL ANALYSIS OF THE IMPACT OF COVID-19 IN THE CASE OF COLOMBIA AGAINST</vt:lpstr>
      <vt:lpstr>ANÁLISE CORRELACIONAL DO IMPACTO DO COVID-19 NO CASO DA COLÔMBIA SOBRE O PREÇO D</vt:lpstr>
      <vt:lpstr/>
      <vt:lpstr/>
      <vt:lpstr/>
      <vt:lpstr/>
      <vt:lpstr/>
      <vt:lpstr/>
      <vt:lpstr/>
      <vt:lpstr/>
      <vt:lpstr/>
      <vt:lpstr/>
      <vt:lpstr/>
      <vt:lpstr/>
      <vt:lpstr/>
      <vt:lpstr/>
      <vt:lpstr/>
      <vt:lpstr/>
      <vt:lpstr/>
      <vt:lpstr/>
      <vt:lpstr/>
      <vt:lpstr/>
      <vt:lpstr/>
      <vt:lpstr/>
      <vt:lpstr/>
      <vt:lpstr>Resumen</vt:lpstr>
      <vt:lpstr/>
      <vt:lpstr>Palabras Claves: COVID-19, incidencia, pandemia, petróleo Brent, correlación.</vt:lpstr>
      <vt:lpstr/>
      <vt:lpstr>Abstract</vt:lpstr>
      <vt:lpstr>The COVID-19 pandemic has impacted Brent oil prices since its appearance in Dece</vt:lpstr>
      <vt:lpstr>Key words: COVID-19, incidence, pandemic, Brent oil, correlation.</vt:lpstr>
      <vt:lpstr>Resumo</vt:lpstr>
      <vt:lpstr>A pandemia do COVID-19 impactou os preços do petróleo Brent desde seu surgimento</vt:lpstr>
      <vt:lpstr>Palavras-chave: COVID-19, incidência, pandemia, óleo Brent, correlação.</vt:lpstr>
      <vt:lpstr/>
      <vt:lpstr>1. INTRODUCCIÓN</vt:lpstr>
      <vt:lpstr>La enfermedad por coronavirus 2019 (COVID-19) es una enfermedad respiratoria agu</vt:lpstr>
      <vt:lpstr>Ahora, la pandemia del COVID-19 ha impactado los precios del petróleo. El 20 de </vt:lpstr>
      <vt:lpstr>Ahora, el mercado continuo atentamente la evolución de la nueva variante de coro</vt:lpstr>
      <vt:lpstr>El crudo Brent de referencia internacional se cotizaba a 75,97 dólares el barril</vt:lpstr>
      <vt:lpstr>    3.1. Población</vt:lpstr>
      <vt:lpstr>    3. 2. Formulación de hipótesis</vt:lpstr>
      <vt:lpstr>    La hipótesis del presente trabajo de investigación se diseña como una relación c</vt:lpstr>
      <vt:lpstr>    4. RESULTADOS</vt:lpstr>
      <vt:lpstr>    5. DISCUSIÓN Y CONCLUSIONES </vt:lpstr>
      <vt:lpstr>BMJ.  Enfermedad por coronavirus 2019 (COVID-19). (2020). Recuperado de:  https:</vt:lpstr>
      <vt:lpstr>Díaz, J. (2021). COVID-19 en Colombia: un año después de confirmar su primer cas</vt:lpstr>
      <vt:lpstr/>
    </vt:vector>
  </TitlesOfParts>
  <Company/>
  <LinksUpToDate>false</LinksUpToDate>
  <CharactersWithSpaces>20911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Enrique Díaz Pinzón</dc:creator>
  <cp:keywords/>
  <dc:description/>
  <cp:lastModifiedBy>Jorge Enrique Díaz Pinzón</cp:lastModifiedBy>
  <cp:revision>156</cp:revision>
  <dcterms:created xsi:type="dcterms:W3CDTF">2022-03-19T15:48:00Z</dcterms:created>
  <dcterms:modified xsi:type="dcterms:W3CDTF">2022-07-30T12:36:00Z</dcterms:modified>
</cp:coreProperties>
</file>